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9A" w:rsidRPr="00D47F32" w:rsidRDefault="00D47F32" w:rsidP="00BE729A">
      <w:pPr>
        <w:pStyle w:val="03bCommitteename"/>
        <w:rPr>
          <w:u w:val="single"/>
        </w:rPr>
      </w:pPr>
      <w:bookmarkStart w:id="0" w:name="_GoBack"/>
      <w:bookmarkEnd w:id="0"/>
      <w:r w:rsidRPr="00D47F32">
        <w:rPr>
          <w:u w:val="single"/>
        </w:rPr>
        <w:t>GPC</w:t>
      </w:r>
      <w:r>
        <w:rPr>
          <w:u w:val="single"/>
        </w:rPr>
        <w:t>: PRACTICAL GUIDANCE NOTE</w:t>
      </w:r>
    </w:p>
    <w:p w:rsidR="00BE729A" w:rsidRPr="00BE729A" w:rsidRDefault="00E956AF" w:rsidP="00BE729A">
      <w:pPr>
        <w:pStyle w:val="04Timeanddate"/>
      </w:pPr>
      <w:r>
        <w:t>Note on the benefits &amp; negatives of a Limited Liability Partnership</w:t>
      </w:r>
    </w:p>
    <w:p w:rsidR="00E956AF" w:rsidRDefault="00E956AF" w:rsidP="00E956AF">
      <w:pPr>
        <w:rPr>
          <w:sz w:val="20"/>
          <w:szCs w:val="20"/>
        </w:rPr>
      </w:pPr>
    </w:p>
    <w:tbl>
      <w:tblPr>
        <w:tblStyle w:val="TableGrid"/>
        <w:tblW w:w="0" w:type="auto"/>
        <w:tblInd w:w="421" w:type="dxa"/>
        <w:tblLayout w:type="fixed"/>
        <w:tblLook w:val="04A0" w:firstRow="1" w:lastRow="0" w:firstColumn="1" w:lastColumn="0" w:noHBand="0" w:noVBand="1"/>
      </w:tblPr>
      <w:tblGrid>
        <w:gridCol w:w="846"/>
        <w:gridCol w:w="1893"/>
        <w:gridCol w:w="7074"/>
      </w:tblGrid>
      <w:tr w:rsidR="00E956AF" w:rsidTr="00FB7278">
        <w:tc>
          <w:tcPr>
            <w:tcW w:w="846" w:type="dxa"/>
            <w:shd w:val="clear" w:color="auto" w:fill="BDD6EE" w:themeFill="accent1" w:themeFillTint="66"/>
          </w:tcPr>
          <w:p w:rsidR="00E956AF" w:rsidRPr="009B31C4" w:rsidRDefault="00E956AF" w:rsidP="00A7154B">
            <w:pPr>
              <w:rPr>
                <w:b/>
                <w:sz w:val="20"/>
                <w:szCs w:val="20"/>
              </w:rPr>
            </w:pPr>
            <w:r w:rsidRPr="009B31C4">
              <w:rPr>
                <w:b/>
                <w:sz w:val="20"/>
                <w:szCs w:val="20"/>
              </w:rPr>
              <w:t>Section</w:t>
            </w:r>
          </w:p>
        </w:tc>
        <w:tc>
          <w:tcPr>
            <w:tcW w:w="1893" w:type="dxa"/>
            <w:shd w:val="clear" w:color="auto" w:fill="BDD6EE" w:themeFill="accent1" w:themeFillTint="66"/>
          </w:tcPr>
          <w:p w:rsidR="00E956AF" w:rsidRPr="009B31C4" w:rsidRDefault="00E956AF" w:rsidP="00A7154B">
            <w:pPr>
              <w:rPr>
                <w:b/>
                <w:sz w:val="20"/>
                <w:szCs w:val="20"/>
              </w:rPr>
            </w:pPr>
            <w:r w:rsidRPr="009B31C4">
              <w:rPr>
                <w:b/>
                <w:sz w:val="20"/>
                <w:szCs w:val="20"/>
              </w:rPr>
              <w:t>Point</w:t>
            </w:r>
          </w:p>
        </w:tc>
        <w:tc>
          <w:tcPr>
            <w:tcW w:w="7074" w:type="dxa"/>
            <w:shd w:val="clear" w:color="auto" w:fill="BDD6EE" w:themeFill="accent1" w:themeFillTint="66"/>
          </w:tcPr>
          <w:p w:rsidR="00E956AF" w:rsidRPr="009B31C4" w:rsidRDefault="00E956AF" w:rsidP="00A7154B">
            <w:pPr>
              <w:rPr>
                <w:rFonts w:eastAsia="Times New Roman"/>
                <w:b/>
                <w:sz w:val="20"/>
                <w:szCs w:val="20"/>
                <w:lang w:val="en" w:eastAsia="en-GB"/>
              </w:rPr>
            </w:pPr>
            <w:r w:rsidRPr="009B31C4">
              <w:rPr>
                <w:rFonts w:eastAsia="Times New Roman"/>
                <w:b/>
                <w:sz w:val="20"/>
                <w:szCs w:val="20"/>
                <w:lang w:val="en" w:eastAsia="en-GB"/>
              </w:rPr>
              <w:t>Details</w:t>
            </w:r>
          </w:p>
          <w:p w:rsidR="00E956AF" w:rsidRPr="009B31C4" w:rsidRDefault="00E956AF" w:rsidP="00A7154B">
            <w:pPr>
              <w:rPr>
                <w:rFonts w:eastAsia="Times New Roman"/>
                <w:b/>
                <w:sz w:val="20"/>
                <w:szCs w:val="20"/>
                <w:lang w:val="en" w:eastAsia="en-GB"/>
              </w:rPr>
            </w:pPr>
          </w:p>
        </w:tc>
      </w:tr>
      <w:tr w:rsidR="00E956AF" w:rsidTr="00E061CB">
        <w:tc>
          <w:tcPr>
            <w:tcW w:w="846" w:type="dxa"/>
          </w:tcPr>
          <w:p w:rsidR="00E956AF" w:rsidRPr="00386F74" w:rsidRDefault="00E956AF" w:rsidP="00A7154B">
            <w:pPr>
              <w:rPr>
                <w:b/>
                <w:sz w:val="20"/>
                <w:szCs w:val="20"/>
              </w:rPr>
            </w:pPr>
            <w:r>
              <w:rPr>
                <w:b/>
                <w:sz w:val="20"/>
                <w:szCs w:val="20"/>
              </w:rPr>
              <w:t>1</w:t>
            </w:r>
          </w:p>
        </w:tc>
        <w:tc>
          <w:tcPr>
            <w:tcW w:w="1893" w:type="dxa"/>
          </w:tcPr>
          <w:p w:rsidR="00E956AF" w:rsidRPr="00386F74" w:rsidRDefault="00E956AF" w:rsidP="00A7154B">
            <w:pPr>
              <w:rPr>
                <w:b/>
                <w:sz w:val="20"/>
                <w:szCs w:val="20"/>
              </w:rPr>
            </w:pPr>
            <w:r w:rsidRPr="00386F74">
              <w:rPr>
                <w:b/>
                <w:sz w:val="20"/>
                <w:szCs w:val="20"/>
              </w:rPr>
              <w:t>What is a Limited Liability Partnership (“LLP”)</w:t>
            </w:r>
            <w:r w:rsidR="001335C2">
              <w:rPr>
                <w:b/>
                <w:sz w:val="20"/>
                <w:szCs w:val="20"/>
              </w:rPr>
              <w:t>?</w:t>
            </w:r>
          </w:p>
          <w:p w:rsidR="00E956AF" w:rsidRPr="00386F74" w:rsidRDefault="00E956AF" w:rsidP="00A7154B">
            <w:pPr>
              <w:rPr>
                <w:b/>
                <w:sz w:val="20"/>
                <w:szCs w:val="20"/>
              </w:rPr>
            </w:pPr>
          </w:p>
          <w:p w:rsidR="00E956AF" w:rsidRPr="00386F74" w:rsidRDefault="00E956AF" w:rsidP="00A7154B">
            <w:pPr>
              <w:rPr>
                <w:b/>
                <w:sz w:val="20"/>
                <w:szCs w:val="20"/>
              </w:rPr>
            </w:pPr>
          </w:p>
        </w:tc>
        <w:tc>
          <w:tcPr>
            <w:tcW w:w="7074" w:type="dxa"/>
          </w:tcPr>
          <w:p w:rsidR="00E956AF" w:rsidRDefault="00E956AF" w:rsidP="00A7154B">
            <w:pPr>
              <w:pStyle w:val="ListParagraph"/>
              <w:numPr>
                <w:ilvl w:val="0"/>
                <w:numId w:val="5"/>
              </w:numPr>
              <w:rPr>
                <w:rFonts w:eastAsia="Times New Roman" w:cs="Times New Roman"/>
                <w:sz w:val="20"/>
                <w:szCs w:val="20"/>
                <w:lang w:val="en" w:eastAsia="en-GB"/>
              </w:rPr>
            </w:pPr>
            <w:r w:rsidRPr="00142789">
              <w:rPr>
                <w:rFonts w:eastAsia="Times New Roman" w:cs="Times New Roman"/>
                <w:sz w:val="20"/>
                <w:szCs w:val="20"/>
                <w:lang w:val="en" w:eastAsia="en-GB"/>
              </w:rPr>
              <w:t>LLP’s were created by the Limited Liability Partnerships Act 2000 (LLPA 2000).</w:t>
            </w:r>
          </w:p>
          <w:p w:rsidR="00E956AF" w:rsidRDefault="00E956AF" w:rsidP="00A7154B">
            <w:pPr>
              <w:pStyle w:val="ListParagraph"/>
              <w:numPr>
                <w:ilvl w:val="0"/>
                <w:numId w:val="5"/>
              </w:numPr>
              <w:rPr>
                <w:rFonts w:eastAsia="Times New Roman" w:cs="Times New Roman"/>
                <w:sz w:val="20"/>
                <w:szCs w:val="20"/>
                <w:lang w:val="en" w:eastAsia="en-GB"/>
              </w:rPr>
            </w:pPr>
            <w:r w:rsidRPr="00142789">
              <w:rPr>
                <w:rFonts w:eastAsia="Times New Roman" w:cs="Times New Roman"/>
                <w:sz w:val="20"/>
                <w:szCs w:val="20"/>
                <w:lang w:val="en" w:eastAsia="en-GB"/>
              </w:rPr>
              <w:t xml:space="preserve">They represent a vehicle for two or more persons intending to carry on a lawful business with a view to </w:t>
            </w:r>
            <w:r w:rsidR="00F665DC">
              <w:rPr>
                <w:rFonts w:eastAsia="Times New Roman" w:cs="Times New Roman"/>
                <w:sz w:val="20"/>
                <w:szCs w:val="20"/>
                <w:lang w:val="en" w:eastAsia="en-GB"/>
              </w:rPr>
              <w:t xml:space="preserve">making </w:t>
            </w:r>
            <w:r w:rsidRPr="00142789">
              <w:rPr>
                <w:rFonts w:eastAsia="Times New Roman" w:cs="Times New Roman"/>
                <w:sz w:val="20"/>
                <w:szCs w:val="20"/>
                <w:lang w:val="en" w:eastAsia="en-GB"/>
              </w:rPr>
              <w:t xml:space="preserve">a profit. </w:t>
            </w:r>
          </w:p>
          <w:p w:rsidR="00E956AF" w:rsidRDefault="00E956AF" w:rsidP="00A7154B">
            <w:pPr>
              <w:pStyle w:val="ListParagraph"/>
              <w:numPr>
                <w:ilvl w:val="0"/>
                <w:numId w:val="5"/>
              </w:numPr>
              <w:rPr>
                <w:rFonts w:eastAsia="Times New Roman" w:cs="Times New Roman"/>
                <w:sz w:val="20"/>
                <w:szCs w:val="20"/>
                <w:lang w:val="en" w:eastAsia="en-GB"/>
              </w:rPr>
            </w:pPr>
            <w:r w:rsidRPr="00142789">
              <w:rPr>
                <w:rFonts w:eastAsia="Times New Roman" w:cs="Times New Roman"/>
                <w:sz w:val="20"/>
                <w:szCs w:val="20"/>
                <w:lang w:val="en" w:eastAsia="en-GB"/>
              </w:rPr>
              <w:t xml:space="preserve">Individuals within an LLP are known as members rather than partners. </w:t>
            </w:r>
          </w:p>
          <w:p w:rsidR="00E956AF" w:rsidRDefault="00E956AF" w:rsidP="00A7154B">
            <w:pPr>
              <w:pStyle w:val="ListParagraph"/>
              <w:numPr>
                <w:ilvl w:val="0"/>
                <w:numId w:val="5"/>
              </w:numPr>
              <w:rPr>
                <w:rFonts w:eastAsia="Times New Roman" w:cs="Times New Roman"/>
                <w:sz w:val="20"/>
                <w:szCs w:val="20"/>
                <w:lang w:val="en" w:eastAsia="en-GB"/>
              </w:rPr>
            </w:pPr>
            <w:r w:rsidRPr="00142789">
              <w:rPr>
                <w:rFonts w:eastAsia="Times New Roman" w:cs="Times New Roman"/>
                <w:sz w:val="20"/>
                <w:szCs w:val="20"/>
                <w:lang w:val="en" w:eastAsia="en-GB"/>
              </w:rPr>
              <w:t>Partnership law does not generally apply to LLPs.</w:t>
            </w:r>
          </w:p>
          <w:p w:rsidR="00E956AF" w:rsidRDefault="00E956AF" w:rsidP="00A7154B">
            <w:pPr>
              <w:pStyle w:val="ListParagraph"/>
              <w:numPr>
                <w:ilvl w:val="0"/>
                <w:numId w:val="5"/>
              </w:numPr>
              <w:rPr>
                <w:rFonts w:eastAsia="Times New Roman" w:cs="Times New Roman"/>
                <w:sz w:val="20"/>
                <w:szCs w:val="20"/>
                <w:lang w:val="en" w:eastAsia="en-GB"/>
              </w:rPr>
            </w:pPr>
            <w:r w:rsidRPr="00142789">
              <w:rPr>
                <w:rFonts w:eastAsia="Times New Roman" w:cs="Times New Roman"/>
                <w:sz w:val="20"/>
                <w:szCs w:val="20"/>
                <w:lang w:val="en" w:eastAsia="en-GB"/>
              </w:rPr>
              <w:t>Members of an LLP would ordinarily enter into a LLP Agreement (the equivalent to the Partnership Agreement that partners of an ordinary partnership would enter into).</w:t>
            </w:r>
          </w:p>
          <w:p w:rsidR="001335C2" w:rsidRPr="001335C2" w:rsidRDefault="001335C2" w:rsidP="001335C2">
            <w:pPr>
              <w:pStyle w:val="ListParagraph"/>
              <w:ind w:left="360"/>
              <w:rPr>
                <w:rFonts w:eastAsia="Times New Roman" w:cs="Times New Roman"/>
                <w:sz w:val="20"/>
                <w:szCs w:val="20"/>
                <w:lang w:val="en" w:eastAsia="en-GB"/>
              </w:rPr>
            </w:pPr>
          </w:p>
        </w:tc>
      </w:tr>
      <w:tr w:rsidR="00E956AF" w:rsidTr="00E061CB">
        <w:tc>
          <w:tcPr>
            <w:tcW w:w="846" w:type="dxa"/>
          </w:tcPr>
          <w:p w:rsidR="00E956AF" w:rsidRPr="00386F74" w:rsidRDefault="00E956AF" w:rsidP="00A7154B">
            <w:pPr>
              <w:rPr>
                <w:b/>
                <w:sz w:val="20"/>
                <w:szCs w:val="20"/>
              </w:rPr>
            </w:pPr>
            <w:r>
              <w:rPr>
                <w:b/>
                <w:sz w:val="20"/>
                <w:szCs w:val="20"/>
              </w:rPr>
              <w:t>2</w:t>
            </w:r>
          </w:p>
        </w:tc>
        <w:tc>
          <w:tcPr>
            <w:tcW w:w="1893" w:type="dxa"/>
          </w:tcPr>
          <w:p w:rsidR="00E956AF" w:rsidRPr="00386F74" w:rsidRDefault="00E956AF" w:rsidP="00A7154B">
            <w:pPr>
              <w:rPr>
                <w:b/>
                <w:sz w:val="20"/>
                <w:szCs w:val="20"/>
              </w:rPr>
            </w:pPr>
            <w:r w:rsidRPr="00386F74">
              <w:rPr>
                <w:b/>
                <w:sz w:val="20"/>
                <w:szCs w:val="20"/>
              </w:rPr>
              <w:t>What are the pros</w:t>
            </w:r>
            <w:r w:rsidR="001335C2">
              <w:rPr>
                <w:b/>
                <w:sz w:val="20"/>
                <w:szCs w:val="20"/>
              </w:rPr>
              <w:t>?</w:t>
            </w:r>
          </w:p>
          <w:p w:rsidR="00E956AF" w:rsidRPr="00386F74" w:rsidRDefault="00E956AF" w:rsidP="00A7154B">
            <w:pPr>
              <w:rPr>
                <w:b/>
                <w:sz w:val="20"/>
                <w:szCs w:val="20"/>
              </w:rPr>
            </w:pPr>
          </w:p>
        </w:tc>
        <w:tc>
          <w:tcPr>
            <w:tcW w:w="7074" w:type="dxa"/>
          </w:tcPr>
          <w:p w:rsidR="00E956AF" w:rsidRPr="002A2905" w:rsidRDefault="00E956AF" w:rsidP="00E956AF">
            <w:pPr>
              <w:pStyle w:val="ListParagraph"/>
              <w:numPr>
                <w:ilvl w:val="0"/>
                <w:numId w:val="4"/>
              </w:numPr>
              <w:rPr>
                <w:rFonts w:eastAsia="Times New Roman" w:cs="Times New Roman"/>
                <w:sz w:val="20"/>
                <w:szCs w:val="20"/>
                <w:lang w:val="en" w:eastAsia="en-GB"/>
              </w:rPr>
            </w:pPr>
            <w:r>
              <w:rPr>
                <w:rFonts w:eastAsia="Times New Roman" w:cs="Times New Roman"/>
                <w:sz w:val="20"/>
                <w:szCs w:val="20"/>
                <w:lang w:val="en" w:eastAsia="en-GB"/>
              </w:rPr>
              <w:t>Clearly the biggest benefit is the fact that the members of the LLP have (subject to a few exceptions noted in section 3 below) limited liability. Indeed, a</w:t>
            </w:r>
            <w:r w:rsidRPr="002A2905">
              <w:rPr>
                <w:rFonts w:eastAsia="Times New Roman" w:cs="Times New Roman"/>
                <w:sz w:val="20"/>
                <w:szCs w:val="20"/>
                <w:lang w:val="en" w:eastAsia="en-GB"/>
              </w:rPr>
              <w:t>n LLP is responsible for its liabilities, while each member's liability will, generally, be limited to the amount that it has agreed to contribute</w:t>
            </w:r>
            <w:r w:rsidR="00E061CB">
              <w:rPr>
                <w:rFonts w:eastAsia="Times New Roman" w:cs="Times New Roman"/>
                <w:sz w:val="20"/>
                <w:szCs w:val="20"/>
                <w:lang w:val="en" w:eastAsia="en-GB"/>
              </w:rPr>
              <w:t xml:space="preserve"> to the LLP itself</w:t>
            </w:r>
            <w:r w:rsidRPr="002A2905">
              <w:rPr>
                <w:rFonts w:eastAsia="Times New Roman" w:cs="Times New Roman"/>
                <w:sz w:val="20"/>
                <w:szCs w:val="20"/>
                <w:lang w:val="en" w:eastAsia="en-GB"/>
              </w:rPr>
              <w:t xml:space="preserve">. </w:t>
            </w:r>
          </w:p>
          <w:p w:rsidR="00E956AF" w:rsidRDefault="00E956AF" w:rsidP="00A7154B">
            <w:pPr>
              <w:pStyle w:val="ListParagraph"/>
              <w:ind w:left="360"/>
              <w:rPr>
                <w:rFonts w:eastAsia="Times New Roman" w:cs="Times New Roman"/>
                <w:sz w:val="20"/>
                <w:szCs w:val="20"/>
                <w:lang w:val="en" w:eastAsia="en-GB"/>
              </w:rPr>
            </w:pPr>
          </w:p>
          <w:p w:rsidR="001335C2" w:rsidRPr="001335C2" w:rsidRDefault="00E956AF" w:rsidP="001335C2">
            <w:pPr>
              <w:pStyle w:val="ListParagraph"/>
              <w:numPr>
                <w:ilvl w:val="0"/>
                <w:numId w:val="4"/>
              </w:numPr>
              <w:rPr>
                <w:rFonts w:eastAsia="Times New Roman" w:cs="Times New Roman"/>
                <w:sz w:val="20"/>
                <w:szCs w:val="20"/>
                <w:lang w:val="en" w:eastAsia="en-GB"/>
              </w:rPr>
            </w:pPr>
            <w:r>
              <w:rPr>
                <w:rFonts w:eastAsia="Times New Roman" w:cs="Times New Roman"/>
                <w:sz w:val="20"/>
                <w:szCs w:val="20"/>
                <w:lang w:val="en" w:eastAsia="en-GB"/>
              </w:rPr>
              <w:t>Unlike an ordinary partnership, a</w:t>
            </w:r>
            <w:r w:rsidRPr="002A2905">
              <w:rPr>
                <w:rFonts w:eastAsia="Times New Roman" w:cs="Times New Roman"/>
                <w:sz w:val="20"/>
                <w:szCs w:val="20"/>
                <w:lang w:val="en" w:eastAsia="en-GB"/>
              </w:rPr>
              <w:t xml:space="preserve">n LLP has its own legal identity separate from its members and </w:t>
            </w:r>
            <w:r w:rsidR="00E061CB">
              <w:rPr>
                <w:rFonts w:eastAsia="Times New Roman" w:cs="Times New Roman"/>
                <w:sz w:val="20"/>
                <w:szCs w:val="20"/>
                <w:lang w:val="en" w:eastAsia="en-GB"/>
              </w:rPr>
              <w:t xml:space="preserve">as a consequence, and </w:t>
            </w:r>
            <w:r>
              <w:rPr>
                <w:rFonts w:eastAsia="Times New Roman" w:cs="Times New Roman"/>
                <w:sz w:val="20"/>
                <w:szCs w:val="20"/>
                <w:lang w:val="en" w:eastAsia="en-GB"/>
              </w:rPr>
              <w:t xml:space="preserve">in its own right </w:t>
            </w:r>
            <w:r w:rsidRPr="002A2905">
              <w:rPr>
                <w:rFonts w:eastAsia="Times New Roman" w:cs="Times New Roman"/>
                <w:sz w:val="20"/>
                <w:szCs w:val="20"/>
                <w:lang w:val="en" w:eastAsia="en-GB"/>
              </w:rPr>
              <w:t xml:space="preserve">can: </w:t>
            </w:r>
          </w:p>
          <w:p w:rsidR="001335C2" w:rsidRPr="001335C2" w:rsidRDefault="001335C2" w:rsidP="001335C2">
            <w:pPr>
              <w:pStyle w:val="ListParagraph"/>
              <w:ind w:left="360"/>
              <w:rPr>
                <w:rFonts w:eastAsia="Times New Roman" w:cs="Times New Roman"/>
                <w:sz w:val="20"/>
                <w:szCs w:val="20"/>
                <w:lang w:val="en" w:eastAsia="en-GB"/>
              </w:rPr>
            </w:pPr>
          </w:p>
          <w:p w:rsidR="00E061CB" w:rsidRDefault="00E956AF" w:rsidP="0018639D">
            <w:pPr>
              <w:pStyle w:val="ListParagraph"/>
              <w:numPr>
                <w:ilvl w:val="1"/>
                <w:numId w:val="4"/>
              </w:numPr>
              <w:rPr>
                <w:rFonts w:eastAsia="Times New Roman" w:cs="Times New Roman"/>
                <w:sz w:val="20"/>
                <w:szCs w:val="20"/>
                <w:lang w:val="en" w:eastAsia="en-GB"/>
              </w:rPr>
            </w:pPr>
            <w:r w:rsidRPr="00E061CB">
              <w:rPr>
                <w:rFonts w:eastAsia="Times New Roman" w:cs="Times New Roman"/>
                <w:sz w:val="20"/>
                <w:szCs w:val="20"/>
                <w:lang w:val="en" w:eastAsia="en-GB"/>
              </w:rPr>
              <w:t xml:space="preserve">enter into contracts </w:t>
            </w:r>
          </w:p>
          <w:p w:rsidR="00E956AF" w:rsidRPr="00E061CB" w:rsidRDefault="00E956AF" w:rsidP="0018639D">
            <w:pPr>
              <w:pStyle w:val="ListParagraph"/>
              <w:numPr>
                <w:ilvl w:val="1"/>
                <w:numId w:val="4"/>
              </w:numPr>
              <w:rPr>
                <w:rFonts w:eastAsia="Times New Roman" w:cs="Times New Roman"/>
                <w:sz w:val="20"/>
                <w:szCs w:val="20"/>
                <w:lang w:val="en" w:eastAsia="en-GB"/>
              </w:rPr>
            </w:pPr>
            <w:r w:rsidRPr="00E061CB">
              <w:rPr>
                <w:rFonts w:eastAsia="Times New Roman" w:cs="Times New Roman"/>
                <w:sz w:val="20"/>
                <w:szCs w:val="20"/>
                <w:lang w:val="en" w:eastAsia="en-GB"/>
              </w:rPr>
              <w:t xml:space="preserve">sue or be sued </w:t>
            </w:r>
          </w:p>
          <w:p w:rsidR="00E956AF" w:rsidRDefault="00E956AF" w:rsidP="00E956AF">
            <w:pPr>
              <w:pStyle w:val="ListParagraph"/>
              <w:numPr>
                <w:ilvl w:val="1"/>
                <w:numId w:val="4"/>
              </w:numPr>
              <w:rPr>
                <w:rFonts w:eastAsia="Times New Roman" w:cs="Times New Roman"/>
                <w:sz w:val="20"/>
                <w:szCs w:val="20"/>
                <w:lang w:val="en" w:eastAsia="en-GB"/>
              </w:rPr>
            </w:pPr>
            <w:r w:rsidRPr="002A2905">
              <w:rPr>
                <w:rFonts w:eastAsia="Times New Roman" w:cs="Times New Roman"/>
                <w:sz w:val="20"/>
                <w:szCs w:val="20"/>
                <w:lang w:val="en" w:eastAsia="en-GB"/>
              </w:rPr>
              <w:t>hold property, and</w:t>
            </w:r>
          </w:p>
          <w:p w:rsidR="00E956AF" w:rsidRDefault="00E956AF" w:rsidP="00E956AF">
            <w:pPr>
              <w:pStyle w:val="ListParagraph"/>
              <w:numPr>
                <w:ilvl w:val="1"/>
                <w:numId w:val="4"/>
              </w:numPr>
              <w:rPr>
                <w:rFonts w:eastAsia="Times New Roman" w:cs="Times New Roman"/>
                <w:sz w:val="20"/>
                <w:szCs w:val="20"/>
                <w:lang w:val="en" w:eastAsia="en-GB"/>
              </w:rPr>
            </w:pPr>
            <w:r w:rsidRPr="002A2905">
              <w:rPr>
                <w:rFonts w:eastAsia="Times New Roman" w:cs="Times New Roman"/>
                <w:sz w:val="20"/>
                <w:szCs w:val="20"/>
                <w:lang w:val="en" w:eastAsia="en-GB"/>
              </w:rPr>
              <w:t>grant a floating charge or debenture over partnership property</w:t>
            </w:r>
          </w:p>
          <w:p w:rsidR="001335C2" w:rsidRDefault="001335C2" w:rsidP="001335C2">
            <w:pPr>
              <w:pStyle w:val="ListParagraph"/>
              <w:ind w:left="360"/>
              <w:rPr>
                <w:rFonts w:eastAsia="Times New Roman" w:cs="Times New Roman"/>
                <w:sz w:val="20"/>
                <w:szCs w:val="20"/>
                <w:lang w:val="en" w:eastAsia="en-GB"/>
              </w:rPr>
            </w:pPr>
          </w:p>
          <w:p w:rsidR="00F665DC" w:rsidRDefault="00F665DC" w:rsidP="00E956AF">
            <w:pPr>
              <w:pStyle w:val="ListParagraph"/>
              <w:numPr>
                <w:ilvl w:val="0"/>
                <w:numId w:val="4"/>
              </w:numPr>
              <w:rPr>
                <w:rFonts w:eastAsia="Times New Roman" w:cs="Times New Roman"/>
                <w:sz w:val="20"/>
                <w:szCs w:val="20"/>
                <w:lang w:val="en" w:eastAsia="en-GB"/>
              </w:rPr>
            </w:pPr>
            <w:r>
              <w:rPr>
                <w:rFonts w:eastAsia="Times New Roman" w:cs="Times New Roman"/>
                <w:sz w:val="20"/>
                <w:szCs w:val="20"/>
                <w:lang w:val="en" w:eastAsia="en-GB"/>
              </w:rPr>
              <w:t xml:space="preserve">In many respects linked to the above point, if previously unincorporated practitioners (whether operating as singled handed GPs or as a partnership) were to incorporate as an LLP they could, subject to any restrictions in the relevant contracts or regulatory </w:t>
            </w:r>
            <w:r w:rsidR="00C75A53">
              <w:rPr>
                <w:rFonts w:eastAsia="Times New Roman" w:cs="Times New Roman"/>
                <w:sz w:val="20"/>
                <w:szCs w:val="20"/>
                <w:lang w:val="en" w:eastAsia="en-GB"/>
              </w:rPr>
              <w:t xml:space="preserve">requirements/ </w:t>
            </w:r>
            <w:r>
              <w:rPr>
                <w:rFonts w:eastAsia="Times New Roman" w:cs="Times New Roman"/>
                <w:sz w:val="20"/>
                <w:szCs w:val="20"/>
                <w:lang w:val="en" w:eastAsia="en-GB"/>
              </w:rPr>
              <w:t>prohibitions</w:t>
            </w:r>
            <w:r w:rsidR="00E061CB">
              <w:rPr>
                <w:rFonts w:eastAsia="Times New Roman" w:cs="Times New Roman"/>
                <w:sz w:val="20"/>
                <w:szCs w:val="20"/>
                <w:lang w:val="en" w:eastAsia="en-GB"/>
              </w:rPr>
              <w:t>, assign or</w:t>
            </w:r>
            <w:r>
              <w:rPr>
                <w:rFonts w:eastAsia="Times New Roman" w:cs="Times New Roman"/>
                <w:sz w:val="20"/>
                <w:szCs w:val="20"/>
                <w:lang w:val="en" w:eastAsia="en-GB"/>
              </w:rPr>
              <w:t xml:space="preserve"> transfer their existing contracts to the LLP itself.  </w:t>
            </w:r>
          </w:p>
          <w:p w:rsidR="00F665DC" w:rsidRDefault="00F665DC" w:rsidP="00F665DC">
            <w:pPr>
              <w:pStyle w:val="ListParagraph"/>
              <w:ind w:left="360"/>
              <w:rPr>
                <w:rFonts w:eastAsia="Times New Roman" w:cs="Times New Roman"/>
                <w:sz w:val="20"/>
                <w:szCs w:val="20"/>
                <w:lang w:val="en" w:eastAsia="en-GB"/>
              </w:rPr>
            </w:pPr>
          </w:p>
          <w:p w:rsidR="00E956AF" w:rsidRDefault="00E956AF" w:rsidP="00E956AF">
            <w:pPr>
              <w:pStyle w:val="ListParagraph"/>
              <w:numPr>
                <w:ilvl w:val="0"/>
                <w:numId w:val="4"/>
              </w:numPr>
              <w:rPr>
                <w:rFonts w:eastAsia="Times New Roman" w:cs="Times New Roman"/>
                <w:sz w:val="20"/>
                <w:szCs w:val="20"/>
                <w:lang w:val="en" w:eastAsia="en-GB"/>
              </w:rPr>
            </w:pPr>
            <w:r>
              <w:rPr>
                <w:rFonts w:eastAsia="Times New Roman" w:cs="Times New Roman"/>
                <w:sz w:val="20"/>
                <w:szCs w:val="20"/>
                <w:lang w:val="en" w:eastAsia="en-GB"/>
              </w:rPr>
              <w:t xml:space="preserve">An LLP has historically been used as a choice of form of corporate entity (over and above a company limited by shares) for many given they attract preferential tax treatment as although it is regraded as having its own legal identity in law, for tax purposes an LLP is normally treated as a partnership for tax purposes. </w:t>
            </w:r>
          </w:p>
          <w:p w:rsidR="00E956AF" w:rsidRDefault="00E956AF" w:rsidP="00A7154B">
            <w:pPr>
              <w:pStyle w:val="ListParagraph"/>
              <w:ind w:left="360"/>
              <w:rPr>
                <w:rFonts w:eastAsia="Times New Roman" w:cs="Times New Roman"/>
                <w:sz w:val="20"/>
                <w:szCs w:val="20"/>
                <w:lang w:val="en" w:eastAsia="en-GB"/>
              </w:rPr>
            </w:pPr>
          </w:p>
          <w:p w:rsidR="00E956AF" w:rsidRDefault="00E956AF" w:rsidP="00A7154B">
            <w:pPr>
              <w:pStyle w:val="ListParagraph"/>
              <w:ind w:left="360"/>
              <w:rPr>
                <w:rFonts w:eastAsia="Times New Roman" w:cs="Times New Roman"/>
                <w:sz w:val="20"/>
                <w:szCs w:val="20"/>
                <w:lang w:val="en" w:eastAsia="en-GB"/>
              </w:rPr>
            </w:pPr>
            <w:r>
              <w:rPr>
                <w:rFonts w:eastAsia="Times New Roman" w:cs="Times New Roman"/>
                <w:sz w:val="20"/>
                <w:szCs w:val="20"/>
                <w:lang w:val="en" w:eastAsia="en-GB"/>
              </w:rPr>
              <w:t>Subject to specific circumstances that would alter the general approach, this is beneficial as with a company limited by shares you find that i) the company pays corporate tax on profits and then ii) the shareholders pay tax when extracting money from the company (done via dividends). An LLP is not taxed on its profits and instead the members are taxed on their share of the profits that it (the LLP) generates.</w:t>
            </w:r>
          </w:p>
          <w:p w:rsidR="00E956AF" w:rsidRPr="00D61FD8" w:rsidRDefault="00E956AF" w:rsidP="00A7154B">
            <w:pPr>
              <w:rPr>
                <w:sz w:val="20"/>
                <w:szCs w:val="20"/>
              </w:rPr>
            </w:pPr>
          </w:p>
        </w:tc>
      </w:tr>
      <w:tr w:rsidR="00E956AF" w:rsidTr="00E061CB">
        <w:tc>
          <w:tcPr>
            <w:tcW w:w="846" w:type="dxa"/>
          </w:tcPr>
          <w:p w:rsidR="00E956AF" w:rsidRPr="00386F74" w:rsidRDefault="00E956AF" w:rsidP="00A7154B">
            <w:pPr>
              <w:rPr>
                <w:b/>
                <w:sz w:val="20"/>
                <w:szCs w:val="20"/>
              </w:rPr>
            </w:pPr>
            <w:r>
              <w:rPr>
                <w:b/>
                <w:sz w:val="20"/>
                <w:szCs w:val="20"/>
              </w:rPr>
              <w:lastRenderedPageBreak/>
              <w:t>3</w:t>
            </w:r>
          </w:p>
        </w:tc>
        <w:tc>
          <w:tcPr>
            <w:tcW w:w="1893" w:type="dxa"/>
          </w:tcPr>
          <w:p w:rsidR="00E956AF" w:rsidRPr="00386F74" w:rsidRDefault="00E956AF" w:rsidP="00A7154B">
            <w:pPr>
              <w:rPr>
                <w:b/>
                <w:sz w:val="20"/>
                <w:szCs w:val="20"/>
              </w:rPr>
            </w:pPr>
            <w:r w:rsidRPr="00386F74">
              <w:rPr>
                <w:b/>
                <w:sz w:val="20"/>
                <w:szCs w:val="20"/>
              </w:rPr>
              <w:t>What are the cons</w:t>
            </w:r>
            <w:r w:rsidR="001335C2">
              <w:rPr>
                <w:b/>
                <w:sz w:val="20"/>
                <w:szCs w:val="20"/>
              </w:rPr>
              <w:t>?</w:t>
            </w:r>
          </w:p>
          <w:p w:rsidR="00E956AF" w:rsidRPr="00386F74" w:rsidRDefault="00E956AF" w:rsidP="00A7154B">
            <w:pPr>
              <w:rPr>
                <w:b/>
                <w:sz w:val="20"/>
                <w:szCs w:val="20"/>
              </w:rPr>
            </w:pPr>
          </w:p>
        </w:tc>
        <w:tc>
          <w:tcPr>
            <w:tcW w:w="7074" w:type="dxa"/>
          </w:tcPr>
          <w:p w:rsidR="00E956AF" w:rsidRDefault="00F665DC" w:rsidP="00A7154B">
            <w:pPr>
              <w:pStyle w:val="ListParagraph"/>
              <w:numPr>
                <w:ilvl w:val="0"/>
                <w:numId w:val="6"/>
              </w:numPr>
              <w:rPr>
                <w:rFonts w:eastAsia="Times New Roman" w:cs="Times New Roman"/>
                <w:sz w:val="20"/>
                <w:szCs w:val="20"/>
                <w:lang w:val="en" w:eastAsia="en-GB"/>
              </w:rPr>
            </w:pPr>
            <w:r>
              <w:rPr>
                <w:rFonts w:eastAsia="Times New Roman" w:cs="Times New Roman"/>
                <w:sz w:val="20"/>
                <w:szCs w:val="20"/>
                <w:lang w:val="en" w:eastAsia="en-GB"/>
              </w:rPr>
              <w:t>The PMS and GMS Regulations</w:t>
            </w:r>
            <w:r w:rsidR="00E956AF">
              <w:rPr>
                <w:rFonts w:eastAsia="Times New Roman" w:cs="Times New Roman"/>
                <w:sz w:val="20"/>
                <w:szCs w:val="20"/>
                <w:lang w:val="en" w:eastAsia="en-GB"/>
              </w:rPr>
              <w:t xml:space="preserve"> </w:t>
            </w:r>
            <w:r>
              <w:rPr>
                <w:rFonts w:eastAsia="Times New Roman" w:cs="Times New Roman"/>
                <w:sz w:val="20"/>
                <w:szCs w:val="20"/>
                <w:lang w:val="en" w:eastAsia="en-GB"/>
              </w:rPr>
              <w:t xml:space="preserve">do not </w:t>
            </w:r>
            <w:r w:rsidR="00E956AF">
              <w:rPr>
                <w:rFonts w:eastAsia="Times New Roman" w:cs="Times New Roman"/>
                <w:sz w:val="20"/>
                <w:szCs w:val="20"/>
                <w:lang w:val="en" w:eastAsia="en-GB"/>
              </w:rPr>
              <w:t xml:space="preserve">recognise </w:t>
            </w:r>
            <w:r>
              <w:rPr>
                <w:rFonts w:eastAsia="Times New Roman" w:cs="Times New Roman"/>
                <w:sz w:val="20"/>
                <w:szCs w:val="20"/>
                <w:lang w:val="en" w:eastAsia="en-GB"/>
              </w:rPr>
              <w:t>LLPs as an entity capable of holding GMS or PMS contracts</w:t>
            </w:r>
            <w:r w:rsidR="00E956AF">
              <w:rPr>
                <w:rFonts w:eastAsia="Times New Roman" w:cs="Times New Roman"/>
                <w:sz w:val="20"/>
                <w:szCs w:val="20"/>
                <w:lang w:val="en" w:eastAsia="en-GB"/>
              </w:rPr>
              <w:t>. Changes in legislation will therefore be required before they become a</w:t>
            </w:r>
            <w:r>
              <w:rPr>
                <w:rFonts w:eastAsia="Times New Roman" w:cs="Times New Roman"/>
                <w:sz w:val="20"/>
                <w:szCs w:val="20"/>
                <w:lang w:val="en" w:eastAsia="en-GB"/>
              </w:rPr>
              <w:t xml:space="preserve"> viable option.</w:t>
            </w:r>
            <w:r w:rsidR="00E956AF">
              <w:rPr>
                <w:rFonts w:eastAsia="Times New Roman" w:cs="Times New Roman"/>
                <w:sz w:val="20"/>
                <w:szCs w:val="20"/>
                <w:lang w:val="en" w:eastAsia="en-GB"/>
              </w:rPr>
              <w:t xml:space="preserve"> </w:t>
            </w:r>
          </w:p>
          <w:p w:rsidR="00C75A53" w:rsidRDefault="00C75A53" w:rsidP="00C75A53">
            <w:pPr>
              <w:pStyle w:val="ListParagraph"/>
              <w:ind w:left="360"/>
              <w:rPr>
                <w:rFonts w:eastAsia="Times New Roman" w:cs="Times New Roman"/>
                <w:sz w:val="20"/>
                <w:szCs w:val="20"/>
                <w:lang w:val="en" w:eastAsia="en-GB"/>
              </w:rPr>
            </w:pPr>
          </w:p>
          <w:p w:rsidR="00E061E9" w:rsidRDefault="00EB2CE4" w:rsidP="00E061E9">
            <w:pPr>
              <w:pStyle w:val="ListParagraph"/>
              <w:numPr>
                <w:ilvl w:val="0"/>
                <w:numId w:val="6"/>
              </w:numPr>
              <w:rPr>
                <w:rFonts w:eastAsia="Times New Roman" w:cs="Times New Roman"/>
                <w:sz w:val="20"/>
                <w:szCs w:val="20"/>
                <w:lang w:val="en" w:eastAsia="en-GB"/>
              </w:rPr>
            </w:pPr>
            <w:r>
              <w:rPr>
                <w:rFonts w:eastAsia="Times New Roman" w:cs="Times New Roman"/>
                <w:sz w:val="20"/>
                <w:szCs w:val="20"/>
                <w:lang w:val="en" w:eastAsia="en-GB"/>
              </w:rPr>
              <w:t>It is likely that any GP practice that incorporates as an LLP</w:t>
            </w:r>
            <w:r w:rsidR="00714DDE">
              <w:rPr>
                <w:rFonts w:eastAsia="Times New Roman" w:cs="Times New Roman"/>
                <w:sz w:val="20"/>
                <w:szCs w:val="20"/>
                <w:lang w:val="en" w:eastAsia="en-GB"/>
              </w:rPr>
              <w:t xml:space="preserve"> will face</w:t>
            </w:r>
            <w:r>
              <w:rPr>
                <w:rFonts w:eastAsia="Times New Roman" w:cs="Times New Roman"/>
                <w:sz w:val="20"/>
                <w:szCs w:val="20"/>
                <w:lang w:val="en" w:eastAsia="en-GB"/>
              </w:rPr>
              <w:t xml:space="preserve"> potential </w:t>
            </w:r>
            <w:r w:rsidR="00502139">
              <w:rPr>
                <w:rFonts w:eastAsia="Times New Roman" w:cs="Times New Roman"/>
                <w:sz w:val="20"/>
                <w:szCs w:val="20"/>
                <w:lang w:val="en" w:eastAsia="en-GB"/>
              </w:rPr>
              <w:t xml:space="preserve">uncertainty as to whether commissioners </w:t>
            </w:r>
          </w:p>
          <w:p w:rsidR="005966D9" w:rsidRDefault="005966D9" w:rsidP="005966D9">
            <w:pPr>
              <w:pStyle w:val="ListParagraph"/>
              <w:ind w:left="1080"/>
              <w:rPr>
                <w:rFonts w:eastAsia="Times New Roman" w:cs="Times New Roman"/>
                <w:sz w:val="20"/>
                <w:szCs w:val="20"/>
                <w:lang w:val="en" w:eastAsia="en-GB"/>
              </w:rPr>
            </w:pPr>
          </w:p>
          <w:p w:rsidR="00E061E9" w:rsidRDefault="005966D9" w:rsidP="005966D9">
            <w:pPr>
              <w:pStyle w:val="ListParagraph"/>
              <w:numPr>
                <w:ilvl w:val="0"/>
                <w:numId w:val="13"/>
              </w:numPr>
              <w:rPr>
                <w:rFonts w:eastAsia="Times New Roman"/>
                <w:sz w:val="20"/>
                <w:szCs w:val="20"/>
                <w:lang w:val="en" w:eastAsia="en-GB"/>
              </w:rPr>
            </w:pPr>
            <w:r w:rsidRPr="00623B5D">
              <w:rPr>
                <w:rFonts w:eastAsia="Times New Roman"/>
                <w:i/>
                <w:sz w:val="20"/>
                <w:szCs w:val="20"/>
                <w:lang w:val="en" w:eastAsia="en-GB"/>
              </w:rPr>
              <w:t>C</w:t>
            </w:r>
            <w:r w:rsidR="00E061E9" w:rsidRPr="00623B5D">
              <w:rPr>
                <w:rFonts w:eastAsia="Times New Roman"/>
                <w:i/>
                <w:sz w:val="20"/>
                <w:szCs w:val="20"/>
                <w:lang w:val="en" w:eastAsia="en-GB"/>
              </w:rPr>
              <w:t>ould</w:t>
            </w:r>
            <w:r w:rsidR="00502139" w:rsidRPr="00623B5D">
              <w:rPr>
                <w:rFonts w:eastAsia="Times New Roman"/>
                <w:i/>
                <w:sz w:val="20"/>
                <w:szCs w:val="20"/>
                <w:lang w:val="en" w:eastAsia="en-GB"/>
              </w:rPr>
              <w:t xml:space="preserve"> legally transfer</w:t>
            </w:r>
            <w:r w:rsidR="00EB2CE4" w:rsidRPr="00623B5D">
              <w:rPr>
                <w:rFonts w:eastAsia="Times New Roman"/>
                <w:i/>
                <w:sz w:val="20"/>
                <w:szCs w:val="20"/>
                <w:lang w:val="en" w:eastAsia="en-GB"/>
              </w:rPr>
              <w:t xml:space="preserve"> </w:t>
            </w:r>
            <w:r w:rsidR="00E061E9" w:rsidRPr="00623B5D">
              <w:rPr>
                <w:rFonts w:eastAsia="Times New Roman"/>
                <w:i/>
                <w:sz w:val="20"/>
                <w:szCs w:val="20"/>
                <w:lang w:val="en" w:eastAsia="en-GB"/>
              </w:rPr>
              <w:t>their</w:t>
            </w:r>
            <w:r w:rsidR="00EB2CE4" w:rsidRPr="00623B5D">
              <w:rPr>
                <w:rFonts w:eastAsia="Times New Roman"/>
                <w:i/>
                <w:sz w:val="20"/>
                <w:szCs w:val="20"/>
                <w:lang w:val="en" w:eastAsia="en-GB"/>
              </w:rPr>
              <w:t xml:space="preserve"> </w:t>
            </w:r>
            <w:r w:rsidR="00E061E9" w:rsidRPr="00623B5D">
              <w:rPr>
                <w:rFonts w:eastAsia="Times New Roman"/>
                <w:i/>
                <w:sz w:val="20"/>
                <w:szCs w:val="20"/>
                <w:lang w:val="en" w:eastAsia="en-GB"/>
              </w:rPr>
              <w:t xml:space="preserve">existing </w:t>
            </w:r>
            <w:r w:rsidR="00EB2CE4" w:rsidRPr="00623B5D">
              <w:rPr>
                <w:rFonts w:eastAsia="Times New Roman"/>
                <w:i/>
                <w:sz w:val="20"/>
                <w:szCs w:val="20"/>
                <w:lang w:val="en" w:eastAsia="en-GB"/>
              </w:rPr>
              <w:t>core contract</w:t>
            </w:r>
            <w:r w:rsidR="00E061E9" w:rsidRPr="00623B5D">
              <w:rPr>
                <w:rFonts w:eastAsia="Times New Roman"/>
                <w:i/>
                <w:sz w:val="20"/>
                <w:szCs w:val="20"/>
                <w:lang w:val="en" w:eastAsia="en-GB"/>
              </w:rPr>
              <w:t xml:space="preserve"> into the LLP</w:t>
            </w:r>
            <w:r>
              <w:rPr>
                <w:rFonts w:eastAsia="Times New Roman"/>
                <w:sz w:val="20"/>
                <w:szCs w:val="20"/>
                <w:lang w:val="en" w:eastAsia="en-GB"/>
              </w:rPr>
              <w:t>.</w:t>
            </w:r>
          </w:p>
          <w:p w:rsidR="005966D9" w:rsidRDefault="005966D9" w:rsidP="005966D9">
            <w:pPr>
              <w:pStyle w:val="ListParagraph"/>
              <w:rPr>
                <w:rFonts w:eastAsia="Times New Roman"/>
                <w:sz w:val="20"/>
                <w:szCs w:val="20"/>
                <w:lang w:val="en" w:eastAsia="en-GB"/>
              </w:rPr>
            </w:pPr>
          </w:p>
          <w:p w:rsidR="005966D9" w:rsidRDefault="005966D9" w:rsidP="005966D9">
            <w:pPr>
              <w:pStyle w:val="ListParagraph"/>
              <w:rPr>
                <w:rFonts w:eastAsia="Times New Roman" w:cs="Times New Roman"/>
                <w:sz w:val="20"/>
                <w:szCs w:val="20"/>
                <w:lang w:val="en" w:eastAsia="en-GB"/>
              </w:rPr>
            </w:pPr>
            <w:r>
              <w:rPr>
                <w:rFonts w:eastAsia="Times New Roman" w:cs="Times New Roman"/>
                <w:sz w:val="20"/>
                <w:szCs w:val="20"/>
                <w:lang w:val="en" w:eastAsia="en-GB"/>
              </w:rPr>
              <w:t xml:space="preserve">As a starting </w:t>
            </w:r>
            <w:proofErr w:type="gramStart"/>
            <w:r>
              <w:rPr>
                <w:rFonts w:eastAsia="Times New Roman" w:cs="Times New Roman"/>
                <w:sz w:val="20"/>
                <w:szCs w:val="20"/>
                <w:lang w:val="en" w:eastAsia="en-GB"/>
              </w:rPr>
              <w:t>point,</w:t>
            </w:r>
            <w:proofErr w:type="gramEnd"/>
            <w:r>
              <w:rPr>
                <w:rFonts w:eastAsia="Times New Roman" w:cs="Times New Roman"/>
                <w:sz w:val="20"/>
                <w:szCs w:val="20"/>
                <w:lang w:val="en" w:eastAsia="en-GB"/>
              </w:rPr>
              <w:t xml:space="preserve"> and assuming LLPs were recognised as a legal entity capable of holding a core contract, there is currently no automatic right to transfer or assign a core contract between legal entities within the GMS or PMS Regulations. </w:t>
            </w:r>
          </w:p>
          <w:p w:rsidR="005966D9" w:rsidRDefault="005966D9" w:rsidP="005966D9">
            <w:pPr>
              <w:pStyle w:val="ListParagraph"/>
              <w:ind w:left="360"/>
              <w:rPr>
                <w:rFonts w:eastAsia="Times New Roman" w:cs="Times New Roman"/>
                <w:sz w:val="20"/>
                <w:szCs w:val="20"/>
                <w:lang w:val="en" w:eastAsia="en-GB"/>
              </w:rPr>
            </w:pPr>
          </w:p>
          <w:p w:rsidR="005966D9" w:rsidRDefault="005966D9" w:rsidP="005966D9">
            <w:pPr>
              <w:pStyle w:val="ListParagraph"/>
              <w:rPr>
                <w:rFonts w:eastAsia="Times New Roman" w:cs="Times New Roman"/>
                <w:sz w:val="20"/>
                <w:szCs w:val="20"/>
                <w:lang w:val="en" w:eastAsia="en-GB"/>
              </w:rPr>
            </w:pPr>
            <w:r>
              <w:rPr>
                <w:rFonts w:eastAsia="Times New Roman" w:cs="Times New Roman"/>
                <w:sz w:val="20"/>
                <w:szCs w:val="20"/>
                <w:lang w:val="en" w:eastAsia="en-GB"/>
              </w:rPr>
              <w:t xml:space="preserve">With this being the case there are really </w:t>
            </w:r>
            <w:r w:rsidR="00E061CB">
              <w:rPr>
                <w:rFonts w:eastAsia="Times New Roman" w:cs="Times New Roman"/>
                <w:sz w:val="20"/>
                <w:szCs w:val="20"/>
                <w:lang w:val="en" w:eastAsia="en-GB"/>
              </w:rPr>
              <w:t xml:space="preserve">only </w:t>
            </w:r>
            <w:r>
              <w:rPr>
                <w:rFonts w:eastAsia="Times New Roman" w:cs="Times New Roman"/>
                <w:sz w:val="20"/>
                <w:szCs w:val="20"/>
                <w:lang w:val="en" w:eastAsia="en-GB"/>
              </w:rPr>
              <w:t>two alternate options available:-</w:t>
            </w:r>
          </w:p>
          <w:p w:rsidR="005966D9" w:rsidRDefault="005966D9" w:rsidP="005966D9">
            <w:pPr>
              <w:pStyle w:val="ListParagraph"/>
              <w:ind w:left="360"/>
              <w:rPr>
                <w:rFonts w:eastAsia="Times New Roman" w:cs="Times New Roman"/>
                <w:sz w:val="20"/>
                <w:szCs w:val="20"/>
                <w:lang w:val="en" w:eastAsia="en-GB"/>
              </w:rPr>
            </w:pPr>
          </w:p>
          <w:p w:rsidR="005966D9" w:rsidRDefault="005966D9" w:rsidP="005966D9">
            <w:pPr>
              <w:pStyle w:val="ListParagraph"/>
              <w:numPr>
                <w:ilvl w:val="0"/>
                <w:numId w:val="12"/>
              </w:numPr>
              <w:rPr>
                <w:rFonts w:eastAsia="Times New Roman" w:cs="Times New Roman"/>
                <w:sz w:val="20"/>
                <w:szCs w:val="20"/>
                <w:lang w:val="en" w:eastAsia="en-GB"/>
              </w:rPr>
            </w:pPr>
            <w:r>
              <w:rPr>
                <w:rFonts w:eastAsia="Times New Roman" w:cs="Times New Roman"/>
                <w:sz w:val="20"/>
                <w:szCs w:val="20"/>
                <w:lang w:val="en" w:eastAsia="en-GB"/>
              </w:rPr>
              <w:t>Seeking a c</w:t>
            </w:r>
            <w:r w:rsidRPr="00A7154B">
              <w:rPr>
                <w:rFonts w:eastAsia="Times New Roman" w:cs="Times New Roman"/>
                <w:sz w:val="20"/>
                <w:szCs w:val="20"/>
                <w:lang w:val="en" w:eastAsia="en-GB"/>
              </w:rPr>
              <w:t xml:space="preserve">ontract </w:t>
            </w:r>
            <w:r>
              <w:rPr>
                <w:rFonts w:eastAsia="Times New Roman" w:cs="Times New Roman"/>
                <w:sz w:val="20"/>
                <w:szCs w:val="20"/>
                <w:lang w:val="en" w:eastAsia="en-GB"/>
              </w:rPr>
              <w:t>variation (variations being allowed under the GMS and PMS Regulations) to change the named party from the individuals to the LLP; or</w:t>
            </w:r>
          </w:p>
          <w:p w:rsidR="005966D9" w:rsidRPr="00A7154B" w:rsidRDefault="005966D9" w:rsidP="005966D9">
            <w:pPr>
              <w:pStyle w:val="ListParagraph"/>
              <w:numPr>
                <w:ilvl w:val="0"/>
                <w:numId w:val="12"/>
              </w:numPr>
              <w:rPr>
                <w:rFonts w:eastAsia="Times New Roman" w:cs="Times New Roman"/>
                <w:sz w:val="20"/>
                <w:szCs w:val="20"/>
                <w:lang w:val="en" w:eastAsia="en-GB"/>
              </w:rPr>
            </w:pPr>
            <w:r>
              <w:rPr>
                <w:rFonts w:eastAsia="Times New Roman" w:cs="Times New Roman"/>
                <w:sz w:val="20"/>
                <w:szCs w:val="20"/>
                <w:lang w:val="en" w:eastAsia="en-GB"/>
              </w:rPr>
              <w:t>Bringing t</w:t>
            </w:r>
            <w:r w:rsidRPr="00A7154B">
              <w:rPr>
                <w:rFonts w:eastAsia="Times New Roman" w:cs="Times New Roman"/>
                <w:sz w:val="20"/>
                <w:szCs w:val="20"/>
                <w:lang w:val="en" w:eastAsia="en-GB"/>
              </w:rPr>
              <w:t xml:space="preserve">he </w:t>
            </w:r>
            <w:r>
              <w:rPr>
                <w:rFonts w:eastAsia="Times New Roman" w:cs="Times New Roman"/>
                <w:sz w:val="20"/>
                <w:szCs w:val="20"/>
                <w:lang w:val="en" w:eastAsia="en-GB"/>
              </w:rPr>
              <w:t>original</w:t>
            </w:r>
            <w:r w:rsidRPr="00A7154B">
              <w:rPr>
                <w:rFonts w:eastAsia="Times New Roman" w:cs="Times New Roman"/>
                <w:sz w:val="20"/>
                <w:szCs w:val="20"/>
                <w:lang w:val="en" w:eastAsia="en-GB"/>
              </w:rPr>
              <w:t xml:space="preserve"> core contract </w:t>
            </w:r>
            <w:r>
              <w:rPr>
                <w:rFonts w:eastAsia="Times New Roman" w:cs="Times New Roman"/>
                <w:sz w:val="20"/>
                <w:szCs w:val="20"/>
                <w:lang w:val="en" w:eastAsia="en-GB"/>
              </w:rPr>
              <w:t>to an end and having a new one</w:t>
            </w:r>
            <w:r w:rsidRPr="00A7154B">
              <w:rPr>
                <w:rFonts w:eastAsia="Times New Roman" w:cs="Times New Roman"/>
                <w:sz w:val="20"/>
                <w:szCs w:val="20"/>
                <w:lang w:val="en" w:eastAsia="en-GB"/>
              </w:rPr>
              <w:t xml:space="preserve"> </w:t>
            </w:r>
            <w:r>
              <w:rPr>
                <w:rFonts w:eastAsia="Times New Roman" w:cs="Times New Roman"/>
                <w:sz w:val="20"/>
                <w:szCs w:val="20"/>
                <w:lang w:val="en" w:eastAsia="en-GB"/>
              </w:rPr>
              <w:t>issued to the LLP</w:t>
            </w:r>
            <w:r w:rsidRPr="00A7154B">
              <w:rPr>
                <w:rFonts w:eastAsia="Times New Roman" w:cs="Times New Roman"/>
                <w:sz w:val="20"/>
                <w:szCs w:val="20"/>
                <w:lang w:val="en" w:eastAsia="en-GB"/>
              </w:rPr>
              <w:t xml:space="preserve">. </w:t>
            </w:r>
          </w:p>
          <w:p w:rsidR="005966D9" w:rsidRDefault="005966D9" w:rsidP="005966D9">
            <w:pPr>
              <w:pStyle w:val="ListParagraph"/>
              <w:ind w:left="360"/>
              <w:rPr>
                <w:rFonts w:eastAsia="Times New Roman" w:cs="Times New Roman"/>
                <w:sz w:val="20"/>
                <w:szCs w:val="20"/>
                <w:lang w:val="en" w:eastAsia="en-GB"/>
              </w:rPr>
            </w:pPr>
          </w:p>
          <w:p w:rsidR="00623B5D" w:rsidRDefault="00623B5D" w:rsidP="005966D9">
            <w:pPr>
              <w:pStyle w:val="ListParagraph"/>
              <w:rPr>
                <w:rFonts w:eastAsia="Times New Roman" w:cs="Times New Roman"/>
                <w:sz w:val="20"/>
                <w:szCs w:val="20"/>
                <w:lang w:val="en" w:eastAsia="en-GB"/>
              </w:rPr>
            </w:pPr>
            <w:r>
              <w:rPr>
                <w:rFonts w:eastAsia="Times New Roman" w:cs="Times New Roman"/>
                <w:sz w:val="20"/>
                <w:szCs w:val="20"/>
                <w:lang w:val="en" w:eastAsia="en-GB"/>
              </w:rPr>
              <w:t>There is some doubt, and certainly some inconsistency amongst commissioners, as to whether a change in the contracting party can</w:t>
            </w:r>
            <w:r w:rsidR="005966D9">
              <w:rPr>
                <w:rFonts w:eastAsia="Times New Roman" w:cs="Times New Roman"/>
                <w:sz w:val="20"/>
                <w:szCs w:val="20"/>
                <w:lang w:val="en" w:eastAsia="en-GB"/>
              </w:rPr>
              <w:t xml:space="preserve"> legitimately be achieved by way of a contract variation. </w:t>
            </w:r>
          </w:p>
          <w:p w:rsidR="00623B5D" w:rsidRDefault="00623B5D" w:rsidP="005966D9">
            <w:pPr>
              <w:pStyle w:val="ListParagraph"/>
              <w:rPr>
                <w:rFonts w:eastAsia="Times New Roman" w:cs="Times New Roman"/>
                <w:sz w:val="20"/>
                <w:szCs w:val="20"/>
                <w:lang w:val="en" w:eastAsia="en-GB"/>
              </w:rPr>
            </w:pPr>
          </w:p>
          <w:p w:rsidR="005966D9" w:rsidRDefault="005966D9" w:rsidP="005966D9">
            <w:pPr>
              <w:pStyle w:val="ListParagraph"/>
              <w:rPr>
                <w:rFonts w:eastAsia="Times New Roman" w:cs="Times New Roman"/>
                <w:sz w:val="20"/>
                <w:szCs w:val="20"/>
                <w:lang w:val="en" w:eastAsia="en-GB"/>
              </w:rPr>
            </w:pPr>
            <w:r>
              <w:rPr>
                <w:rFonts w:eastAsia="Times New Roman" w:cs="Times New Roman"/>
                <w:sz w:val="20"/>
                <w:szCs w:val="20"/>
                <w:lang w:val="en" w:eastAsia="en-GB"/>
              </w:rPr>
              <w:t>As a consequence, and unless the GMS and PMS Regulations are amended to allow core contracts to be assigned or transferred to an LLP from individuals or a partnership, it is highly likely that the only way in which practitioners could move their core contract into an LLP is to have new contract put in place.</w:t>
            </w:r>
          </w:p>
          <w:p w:rsidR="005966D9" w:rsidRPr="005966D9" w:rsidRDefault="005966D9" w:rsidP="005966D9">
            <w:pPr>
              <w:pStyle w:val="ListParagraph"/>
              <w:rPr>
                <w:rFonts w:eastAsia="Times New Roman" w:cs="Times New Roman"/>
                <w:sz w:val="20"/>
                <w:szCs w:val="20"/>
                <w:lang w:val="en" w:eastAsia="en-GB"/>
              </w:rPr>
            </w:pPr>
          </w:p>
          <w:p w:rsidR="00502139" w:rsidRPr="00623B5D" w:rsidRDefault="005966D9" w:rsidP="005966D9">
            <w:pPr>
              <w:pStyle w:val="ListParagraph"/>
              <w:numPr>
                <w:ilvl w:val="0"/>
                <w:numId w:val="13"/>
              </w:numPr>
              <w:rPr>
                <w:rFonts w:eastAsia="Times New Roman"/>
                <w:i/>
                <w:sz w:val="20"/>
                <w:szCs w:val="20"/>
                <w:lang w:val="en" w:eastAsia="en-GB"/>
              </w:rPr>
            </w:pPr>
            <w:r w:rsidRPr="00623B5D">
              <w:rPr>
                <w:rFonts w:eastAsia="Times New Roman" w:cs="Times New Roman"/>
                <w:i/>
                <w:sz w:val="20"/>
                <w:szCs w:val="20"/>
                <w:lang w:val="en" w:eastAsia="en-GB"/>
              </w:rPr>
              <w:t>C</w:t>
            </w:r>
            <w:r w:rsidR="00E061E9" w:rsidRPr="00623B5D">
              <w:rPr>
                <w:rFonts w:eastAsia="Times New Roman" w:cs="Times New Roman"/>
                <w:i/>
                <w:sz w:val="20"/>
                <w:szCs w:val="20"/>
                <w:lang w:val="en" w:eastAsia="en-GB"/>
              </w:rPr>
              <w:t xml:space="preserve">ould </w:t>
            </w:r>
            <w:r w:rsidRPr="00623B5D">
              <w:rPr>
                <w:rFonts w:eastAsia="Times New Roman" w:cs="Times New Roman"/>
                <w:i/>
                <w:sz w:val="20"/>
                <w:szCs w:val="20"/>
                <w:lang w:val="en" w:eastAsia="en-GB"/>
              </w:rPr>
              <w:t xml:space="preserve">avoid </w:t>
            </w:r>
            <w:r w:rsidR="0087342E">
              <w:rPr>
                <w:rFonts w:eastAsia="Times New Roman" w:cs="Times New Roman"/>
                <w:i/>
                <w:sz w:val="20"/>
                <w:szCs w:val="20"/>
                <w:lang w:val="en" w:eastAsia="en-GB"/>
              </w:rPr>
              <w:t>some form of</w:t>
            </w:r>
            <w:r w:rsidR="00623B5D">
              <w:rPr>
                <w:rFonts w:eastAsia="Times New Roman" w:cs="Times New Roman"/>
                <w:i/>
                <w:sz w:val="20"/>
                <w:szCs w:val="20"/>
                <w:lang w:val="en" w:eastAsia="en-GB"/>
              </w:rPr>
              <w:t xml:space="preserve"> procurement</w:t>
            </w:r>
            <w:r w:rsidR="0087342E">
              <w:rPr>
                <w:rFonts w:eastAsia="Times New Roman" w:cs="Times New Roman"/>
                <w:i/>
                <w:sz w:val="20"/>
                <w:szCs w:val="20"/>
                <w:lang w:val="en" w:eastAsia="en-GB"/>
              </w:rPr>
              <w:t xml:space="preserve"> procedure</w:t>
            </w:r>
            <w:r w:rsidR="00623B5D">
              <w:rPr>
                <w:rFonts w:eastAsia="Times New Roman" w:cs="Times New Roman"/>
                <w:i/>
                <w:sz w:val="20"/>
                <w:szCs w:val="20"/>
                <w:lang w:val="en" w:eastAsia="en-GB"/>
              </w:rPr>
              <w:t xml:space="preserve"> </w:t>
            </w:r>
            <w:r w:rsidRPr="00623B5D">
              <w:rPr>
                <w:rFonts w:eastAsia="Times New Roman" w:cs="Times New Roman"/>
                <w:i/>
                <w:sz w:val="20"/>
                <w:szCs w:val="20"/>
                <w:lang w:val="en" w:eastAsia="en-GB"/>
              </w:rPr>
              <w:t>laid out in the Public Contracts Regulations 2015</w:t>
            </w:r>
            <w:r w:rsidR="0087342E">
              <w:rPr>
                <w:rFonts w:eastAsia="Times New Roman" w:cs="Times New Roman"/>
                <w:i/>
                <w:sz w:val="20"/>
                <w:szCs w:val="20"/>
                <w:lang w:val="en" w:eastAsia="en-GB"/>
              </w:rPr>
              <w:t xml:space="preserve"> (“the PCR”)</w:t>
            </w:r>
            <w:r w:rsidR="00E061E9" w:rsidRPr="00623B5D">
              <w:rPr>
                <w:rFonts w:eastAsia="Times New Roman" w:cs="Times New Roman"/>
                <w:i/>
                <w:sz w:val="20"/>
                <w:szCs w:val="20"/>
                <w:lang w:val="en" w:eastAsia="en-GB"/>
              </w:rPr>
              <w:t>.</w:t>
            </w:r>
            <w:r w:rsidR="00714DDE" w:rsidRPr="00623B5D">
              <w:rPr>
                <w:rFonts w:eastAsia="Times New Roman" w:cs="Times New Roman"/>
                <w:i/>
                <w:sz w:val="20"/>
                <w:szCs w:val="20"/>
                <w:lang w:val="en" w:eastAsia="en-GB"/>
              </w:rPr>
              <w:t xml:space="preserve"> </w:t>
            </w:r>
          </w:p>
          <w:p w:rsidR="00502139" w:rsidRPr="00502139" w:rsidRDefault="00502139" w:rsidP="00502139">
            <w:pPr>
              <w:pStyle w:val="ListParagraph"/>
              <w:rPr>
                <w:rFonts w:eastAsia="Times New Roman" w:cs="Times New Roman"/>
                <w:sz w:val="20"/>
                <w:szCs w:val="20"/>
                <w:lang w:val="en" w:eastAsia="en-GB"/>
              </w:rPr>
            </w:pPr>
          </w:p>
          <w:p w:rsidR="0087342E" w:rsidRDefault="0087342E" w:rsidP="0087342E">
            <w:pPr>
              <w:ind w:left="720"/>
              <w:rPr>
                <w:rFonts w:eastAsia="Times New Roman"/>
                <w:sz w:val="20"/>
                <w:szCs w:val="20"/>
                <w:lang w:val="en" w:eastAsia="en-GB"/>
              </w:rPr>
            </w:pPr>
            <w:r>
              <w:rPr>
                <w:rFonts w:eastAsia="Times New Roman"/>
                <w:sz w:val="20"/>
                <w:szCs w:val="20"/>
                <w:lang w:val="en" w:eastAsia="en-GB"/>
              </w:rPr>
              <w:t>The PCR effectively places contracting authorities under an obligation to advertise and pursue some form of procurement process where they are awarding contracts. As a consequence, if commissioners were to cancel and reissue core contracts then they would have no alternative but to follow the</w:t>
            </w:r>
            <w:r w:rsidR="00E061CB">
              <w:rPr>
                <w:rFonts w:eastAsia="Times New Roman"/>
                <w:sz w:val="20"/>
                <w:szCs w:val="20"/>
                <w:lang w:val="en" w:eastAsia="en-GB"/>
              </w:rPr>
              <w:t xml:space="preserve"> advertising and procurement</w:t>
            </w:r>
            <w:r>
              <w:rPr>
                <w:rFonts w:eastAsia="Times New Roman"/>
                <w:sz w:val="20"/>
                <w:szCs w:val="20"/>
                <w:lang w:val="en" w:eastAsia="en-GB"/>
              </w:rPr>
              <w:t xml:space="preserve"> requirements in the PCR.</w:t>
            </w:r>
          </w:p>
          <w:p w:rsidR="00EB4AFD" w:rsidRDefault="0087342E" w:rsidP="0087342E">
            <w:pPr>
              <w:ind w:left="720"/>
              <w:rPr>
                <w:rFonts w:eastAsia="Times New Roman"/>
                <w:sz w:val="20"/>
                <w:szCs w:val="20"/>
                <w:lang w:val="en" w:eastAsia="en-GB"/>
              </w:rPr>
            </w:pPr>
            <w:r>
              <w:rPr>
                <w:rFonts w:eastAsia="Times New Roman"/>
                <w:sz w:val="20"/>
                <w:szCs w:val="20"/>
                <w:lang w:val="en" w:eastAsia="en-GB"/>
              </w:rPr>
              <w:t>But what about if a contract was transferred or varied? This is a bit less unclear</w:t>
            </w:r>
            <w:r w:rsidR="00EB4AFD">
              <w:rPr>
                <w:rFonts w:eastAsia="Times New Roman"/>
                <w:sz w:val="20"/>
                <w:szCs w:val="20"/>
                <w:lang w:val="en" w:eastAsia="en-GB"/>
              </w:rPr>
              <w:t xml:space="preserve"> and a complete and full opinion on this issue alone will be needed if GPC decide to push ahead with the process of lobbying for change in relation to LLPs</w:t>
            </w:r>
            <w:r>
              <w:rPr>
                <w:rFonts w:eastAsia="Times New Roman"/>
                <w:sz w:val="20"/>
                <w:szCs w:val="20"/>
                <w:lang w:val="en" w:eastAsia="en-GB"/>
              </w:rPr>
              <w:t xml:space="preserve">. </w:t>
            </w:r>
          </w:p>
          <w:p w:rsidR="00EB4AFD" w:rsidRDefault="0087342E" w:rsidP="0087342E">
            <w:pPr>
              <w:ind w:left="720"/>
              <w:rPr>
                <w:rFonts w:eastAsia="Times New Roman"/>
                <w:sz w:val="20"/>
                <w:szCs w:val="20"/>
                <w:lang w:val="en" w:eastAsia="en-GB"/>
              </w:rPr>
            </w:pPr>
            <w:r>
              <w:rPr>
                <w:rFonts w:eastAsia="Times New Roman"/>
                <w:sz w:val="20"/>
                <w:szCs w:val="20"/>
                <w:lang w:val="en" w:eastAsia="en-GB"/>
              </w:rPr>
              <w:t xml:space="preserve">Regulation 72 of the PCR specifically states that public contracts may be modified without a new procurement procedure being followed in six specified circumstances. </w:t>
            </w:r>
          </w:p>
          <w:p w:rsidR="00E061CB" w:rsidRDefault="0087342E" w:rsidP="0087342E">
            <w:pPr>
              <w:ind w:left="720"/>
              <w:rPr>
                <w:rFonts w:eastAsia="Times New Roman"/>
                <w:sz w:val="20"/>
                <w:szCs w:val="20"/>
                <w:lang w:val="en" w:eastAsia="en-GB"/>
              </w:rPr>
            </w:pPr>
            <w:r>
              <w:rPr>
                <w:rFonts w:eastAsia="Times New Roman"/>
                <w:sz w:val="20"/>
                <w:szCs w:val="20"/>
                <w:lang w:val="en" w:eastAsia="en-GB"/>
              </w:rPr>
              <w:t xml:space="preserve">One such circumstance is where the contractor is replaced as a consequence of either i) an unequivocal review clause or option contained in the contract, or ii) a complete or partial succession into the position of the initial contractor </w:t>
            </w:r>
            <w:r w:rsidR="00EB4AFD">
              <w:rPr>
                <w:rFonts w:eastAsia="Times New Roman"/>
                <w:sz w:val="20"/>
                <w:szCs w:val="20"/>
                <w:lang w:val="en" w:eastAsia="en-GB"/>
              </w:rPr>
              <w:t xml:space="preserve">where the new operator fulfills the criteria for qualitative selection initially established at the time the contract was </w:t>
            </w:r>
            <w:r w:rsidR="00EB4AFD">
              <w:rPr>
                <w:rFonts w:eastAsia="Times New Roman"/>
                <w:sz w:val="20"/>
                <w:szCs w:val="20"/>
                <w:lang w:val="en" w:eastAsia="en-GB"/>
              </w:rPr>
              <w:lastRenderedPageBreak/>
              <w:t>awarded.</w:t>
            </w:r>
            <w:r>
              <w:rPr>
                <w:rFonts w:eastAsia="Times New Roman"/>
                <w:sz w:val="20"/>
                <w:szCs w:val="20"/>
                <w:lang w:val="en" w:eastAsia="en-GB"/>
              </w:rPr>
              <w:t xml:space="preserve"> </w:t>
            </w:r>
          </w:p>
          <w:p w:rsidR="00623B5D" w:rsidRDefault="00EB4AFD" w:rsidP="0087342E">
            <w:pPr>
              <w:ind w:left="720"/>
              <w:rPr>
                <w:rFonts w:eastAsia="Times New Roman"/>
                <w:sz w:val="20"/>
                <w:szCs w:val="20"/>
                <w:lang w:val="en" w:eastAsia="en-GB"/>
              </w:rPr>
            </w:pPr>
            <w:r>
              <w:rPr>
                <w:rFonts w:eastAsia="Times New Roman"/>
                <w:sz w:val="20"/>
                <w:szCs w:val="20"/>
                <w:lang w:val="en" w:eastAsia="en-GB"/>
              </w:rPr>
              <w:t xml:space="preserve">On the face of it this would enable a successor body to take over a core contract but it is certainly </w:t>
            </w:r>
            <w:r w:rsidR="00E061CB">
              <w:rPr>
                <w:rFonts w:eastAsia="Times New Roman"/>
                <w:sz w:val="20"/>
                <w:szCs w:val="20"/>
                <w:lang w:val="en" w:eastAsia="en-GB"/>
              </w:rPr>
              <w:t>conceivable</w:t>
            </w:r>
            <w:r>
              <w:rPr>
                <w:rFonts w:eastAsia="Times New Roman"/>
                <w:sz w:val="20"/>
                <w:szCs w:val="20"/>
                <w:lang w:val="en" w:eastAsia="en-GB"/>
              </w:rPr>
              <w:t xml:space="preserve"> that this could be challenged on the grounds that LLPs were not, at the time the contract was</w:t>
            </w:r>
            <w:r w:rsidR="00E061CB">
              <w:rPr>
                <w:rFonts w:eastAsia="Times New Roman"/>
                <w:sz w:val="20"/>
                <w:szCs w:val="20"/>
                <w:lang w:val="en" w:eastAsia="en-GB"/>
              </w:rPr>
              <w:t xml:space="preserve"> originally</w:t>
            </w:r>
            <w:r>
              <w:rPr>
                <w:rFonts w:eastAsia="Times New Roman"/>
                <w:sz w:val="20"/>
                <w:szCs w:val="20"/>
                <w:lang w:val="en" w:eastAsia="en-GB"/>
              </w:rPr>
              <w:t xml:space="preserve"> issued to the contractors, </w:t>
            </w:r>
            <w:r w:rsidR="00E061CB">
              <w:rPr>
                <w:rFonts w:eastAsia="Times New Roman"/>
                <w:sz w:val="20"/>
                <w:szCs w:val="20"/>
                <w:lang w:val="en" w:eastAsia="en-GB"/>
              </w:rPr>
              <w:t xml:space="preserve">identified as a body </w:t>
            </w:r>
            <w:r>
              <w:rPr>
                <w:rFonts w:eastAsia="Times New Roman"/>
                <w:sz w:val="20"/>
                <w:szCs w:val="20"/>
                <w:lang w:val="en" w:eastAsia="en-GB"/>
              </w:rPr>
              <w:t xml:space="preserve">capable of holding the same.  </w:t>
            </w:r>
          </w:p>
          <w:p w:rsidR="00E956AF" w:rsidRDefault="00E956AF" w:rsidP="00A7154B">
            <w:pPr>
              <w:pStyle w:val="ListParagraph"/>
              <w:numPr>
                <w:ilvl w:val="0"/>
                <w:numId w:val="6"/>
              </w:numPr>
              <w:rPr>
                <w:rFonts w:eastAsia="Times New Roman" w:cs="Times New Roman"/>
                <w:sz w:val="20"/>
                <w:szCs w:val="20"/>
                <w:lang w:val="en" w:eastAsia="en-GB"/>
              </w:rPr>
            </w:pPr>
            <w:r>
              <w:rPr>
                <w:rFonts w:eastAsia="Times New Roman" w:cs="Times New Roman"/>
                <w:sz w:val="20"/>
                <w:szCs w:val="20"/>
                <w:lang w:val="en" w:eastAsia="en-GB"/>
              </w:rPr>
              <w:t>Positive action needs to be taken to establish an LLP. This differs from ordinary partnerships that are deemed to be established automatically where two or more people come together to run a business with a view to making a profit. The positive actions involve the submission of forms at Companies House (known as Form LL IN01).</w:t>
            </w:r>
          </w:p>
          <w:p w:rsidR="00E956AF" w:rsidRDefault="00E956AF" w:rsidP="00A7154B">
            <w:pPr>
              <w:pStyle w:val="ListParagraph"/>
              <w:ind w:left="360"/>
              <w:rPr>
                <w:rFonts w:eastAsia="Times New Roman" w:cs="Times New Roman"/>
                <w:sz w:val="20"/>
                <w:szCs w:val="20"/>
                <w:lang w:val="en" w:eastAsia="en-GB"/>
              </w:rPr>
            </w:pPr>
          </w:p>
          <w:p w:rsidR="00E956AF" w:rsidRDefault="00E956AF" w:rsidP="00A7154B">
            <w:pPr>
              <w:pStyle w:val="ListParagraph"/>
              <w:numPr>
                <w:ilvl w:val="0"/>
                <w:numId w:val="6"/>
              </w:numPr>
              <w:rPr>
                <w:rFonts w:eastAsia="Times New Roman" w:cs="Times New Roman"/>
                <w:sz w:val="20"/>
                <w:szCs w:val="20"/>
                <w:lang w:val="en" w:eastAsia="en-GB"/>
              </w:rPr>
            </w:pPr>
            <w:r>
              <w:rPr>
                <w:rFonts w:eastAsia="Times New Roman" w:cs="Times New Roman"/>
                <w:sz w:val="20"/>
                <w:szCs w:val="20"/>
                <w:lang w:val="en" w:eastAsia="en-GB"/>
              </w:rPr>
              <w:t>There are ongoing disclosure and filing requirements that must be satisfied. These include:</w:t>
            </w:r>
          </w:p>
          <w:p w:rsidR="00E956AF" w:rsidRPr="00AB1F08" w:rsidRDefault="00E956AF" w:rsidP="00A7154B">
            <w:pPr>
              <w:pStyle w:val="ListParagraph"/>
              <w:rPr>
                <w:rFonts w:eastAsia="Times New Roman" w:cs="Times New Roman"/>
                <w:sz w:val="20"/>
                <w:szCs w:val="20"/>
                <w:lang w:val="en" w:eastAsia="en-GB"/>
              </w:rPr>
            </w:pP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Formally notifying Companies House of a change of member;</w:t>
            </w: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Formally notifying Companies House of a change in the accounting reference date;</w:t>
            </w: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Submitting an annual return (identifying the members, registered office address and where the records of the LLP are kept)</w:t>
            </w: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A requirement that all websites and stationery refer to the LLP, its registered LLP number (which will be issued by Companies House when incorporated), registered address etc.</w:t>
            </w:r>
          </w:p>
          <w:p w:rsidR="00E956AF" w:rsidRPr="009B31C4" w:rsidRDefault="00E956AF" w:rsidP="00A7154B">
            <w:pPr>
              <w:pStyle w:val="ListParagraph"/>
              <w:rPr>
                <w:rFonts w:eastAsia="Times New Roman" w:cs="Times New Roman"/>
                <w:sz w:val="20"/>
                <w:szCs w:val="20"/>
                <w:lang w:val="en" w:eastAsia="en-GB"/>
              </w:rPr>
            </w:pPr>
          </w:p>
          <w:p w:rsidR="00E956AF" w:rsidRDefault="00E956AF" w:rsidP="00A7154B">
            <w:pPr>
              <w:pStyle w:val="ListParagraph"/>
              <w:numPr>
                <w:ilvl w:val="0"/>
                <w:numId w:val="6"/>
              </w:numPr>
              <w:rPr>
                <w:rFonts w:eastAsia="Times New Roman" w:cs="Times New Roman"/>
                <w:sz w:val="20"/>
                <w:szCs w:val="20"/>
                <w:lang w:val="en" w:eastAsia="en-GB"/>
              </w:rPr>
            </w:pPr>
            <w:r w:rsidRPr="002A2905">
              <w:rPr>
                <w:rFonts w:eastAsia="Times New Roman" w:cs="Times New Roman"/>
                <w:sz w:val="20"/>
                <w:szCs w:val="20"/>
                <w:lang w:val="en" w:eastAsia="en-GB"/>
              </w:rPr>
              <w:t>The limited liability protection may be lifted where members have:</w:t>
            </w:r>
          </w:p>
          <w:p w:rsidR="00C75A53" w:rsidRPr="00C75A53" w:rsidRDefault="00C75A53" w:rsidP="00C75A53">
            <w:pPr>
              <w:pStyle w:val="ListParagraph"/>
              <w:ind w:left="360"/>
              <w:rPr>
                <w:rFonts w:eastAsia="Times New Roman" w:cs="Times New Roman"/>
                <w:sz w:val="20"/>
                <w:szCs w:val="20"/>
                <w:lang w:val="en" w:eastAsia="en-GB"/>
              </w:rPr>
            </w:pPr>
          </w:p>
          <w:p w:rsidR="00E956AF" w:rsidRDefault="00E956AF" w:rsidP="00A7154B">
            <w:pPr>
              <w:pStyle w:val="ListParagraph"/>
              <w:numPr>
                <w:ilvl w:val="1"/>
                <w:numId w:val="6"/>
              </w:numPr>
              <w:rPr>
                <w:rFonts w:eastAsia="Times New Roman" w:cs="Times New Roman"/>
                <w:sz w:val="20"/>
                <w:szCs w:val="20"/>
                <w:lang w:val="en" w:eastAsia="en-GB"/>
              </w:rPr>
            </w:pPr>
            <w:r w:rsidRPr="002A2905">
              <w:rPr>
                <w:rFonts w:eastAsia="Times New Roman" w:cs="Times New Roman"/>
                <w:sz w:val="20"/>
                <w:szCs w:val="20"/>
                <w:lang w:val="en" w:eastAsia="en-GB"/>
              </w:rPr>
              <w:t>given personal guarantees, or</w:t>
            </w:r>
          </w:p>
          <w:p w:rsidR="00E956AF" w:rsidRDefault="00E956AF" w:rsidP="00A7154B">
            <w:pPr>
              <w:pStyle w:val="ListParagraph"/>
              <w:numPr>
                <w:ilvl w:val="1"/>
                <w:numId w:val="6"/>
              </w:numPr>
              <w:rPr>
                <w:rFonts w:eastAsia="Times New Roman" w:cs="Times New Roman"/>
                <w:sz w:val="20"/>
                <w:szCs w:val="20"/>
                <w:lang w:val="en" w:eastAsia="en-GB"/>
              </w:rPr>
            </w:pPr>
            <w:r w:rsidRPr="002A2905">
              <w:rPr>
                <w:rFonts w:eastAsia="Times New Roman" w:cs="Times New Roman"/>
                <w:sz w:val="20"/>
                <w:szCs w:val="20"/>
                <w:lang w:val="en" w:eastAsia="en-GB"/>
              </w:rPr>
              <w:t>been found to be:</w:t>
            </w:r>
          </w:p>
          <w:p w:rsidR="001335C2" w:rsidRDefault="001335C2" w:rsidP="001335C2">
            <w:pPr>
              <w:pStyle w:val="ListParagraph"/>
              <w:ind w:left="1080"/>
              <w:rPr>
                <w:rFonts w:eastAsia="Times New Roman" w:cs="Times New Roman"/>
                <w:sz w:val="20"/>
                <w:szCs w:val="20"/>
                <w:lang w:val="en" w:eastAsia="en-GB"/>
              </w:rPr>
            </w:pPr>
          </w:p>
          <w:p w:rsidR="00E956AF" w:rsidRDefault="00E956AF" w:rsidP="00A7154B">
            <w:pPr>
              <w:pStyle w:val="ListParagraph"/>
              <w:numPr>
                <w:ilvl w:val="2"/>
                <w:numId w:val="6"/>
              </w:numPr>
              <w:rPr>
                <w:rFonts w:eastAsia="Times New Roman" w:cs="Times New Roman"/>
                <w:sz w:val="20"/>
                <w:szCs w:val="20"/>
                <w:lang w:val="en" w:eastAsia="en-GB"/>
              </w:rPr>
            </w:pPr>
            <w:r w:rsidRPr="002A2905">
              <w:rPr>
                <w:rFonts w:eastAsia="Times New Roman" w:cs="Times New Roman"/>
                <w:sz w:val="20"/>
                <w:szCs w:val="20"/>
                <w:lang w:val="en" w:eastAsia="en-GB"/>
              </w:rPr>
              <w:t>negligent, or</w:t>
            </w:r>
          </w:p>
          <w:p w:rsidR="00E956AF" w:rsidRDefault="00E956AF" w:rsidP="00A7154B">
            <w:pPr>
              <w:pStyle w:val="ListParagraph"/>
              <w:numPr>
                <w:ilvl w:val="2"/>
                <w:numId w:val="6"/>
              </w:numPr>
              <w:rPr>
                <w:rFonts w:eastAsia="Times New Roman" w:cs="Times New Roman"/>
                <w:sz w:val="20"/>
                <w:szCs w:val="20"/>
                <w:lang w:val="en" w:eastAsia="en-GB"/>
              </w:rPr>
            </w:pPr>
            <w:proofErr w:type="gramStart"/>
            <w:r w:rsidRPr="002A2905">
              <w:rPr>
                <w:rFonts w:eastAsia="Times New Roman" w:cs="Times New Roman"/>
                <w:sz w:val="20"/>
                <w:szCs w:val="20"/>
                <w:lang w:val="en" w:eastAsia="en-GB"/>
              </w:rPr>
              <w:t>guilty</w:t>
            </w:r>
            <w:proofErr w:type="gramEnd"/>
            <w:r w:rsidRPr="002A2905">
              <w:rPr>
                <w:rFonts w:eastAsia="Times New Roman" w:cs="Times New Roman"/>
                <w:sz w:val="20"/>
                <w:szCs w:val="20"/>
                <w:lang w:val="en" w:eastAsia="en-GB"/>
              </w:rPr>
              <w:t xml:space="preserve"> of wrongful or fraudulent trading</w:t>
            </w:r>
            <w:r>
              <w:rPr>
                <w:rFonts w:eastAsia="Times New Roman" w:cs="Times New Roman"/>
                <w:sz w:val="20"/>
                <w:szCs w:val="20"/>
                <w:lang w:val="en" w:eastAsia="en-GB"/>
              </w:rPr>
              <w:t xml:space="preserve"> (effectively trading </w:t>
            </w:r>
            <w:r w:rsidR="00C75A53">
              <w:rPr>
                <w:rFonts w:eastAsia="Times New Roman" w:cs="Times New Roman"/>
                <w:sz w:val="20"/>
                <w:szCs w:val="20"/>
                <w:lang w:val="en" w:eastAsia="en-GB"/>
              </w:rPr>
              <w:t xml:space="preserve">despite being </w:t>
            </w:r>
            <w:r>
              <w:rPr>
                <w:rFonts w:eastAsia="Times New Roman" w:cs="Times New Roman"/>
                <w:sz w:val="20"/>
                <w:szCs w:val="20"/>
                <w:lang w:val="en" w:eastAsia="en-GB"/>
              </w:rPr>
              <w:t>in an insolvent position).</w:t>
            </w:r>
          </w:p>
          <w:p w:rsidR="00E956AF" w:rsidRDefault="00E956AF" w:rsidP="00A7154B">
            <w:pPr>
              <w:pStyle w:val="ListParagraph"/>
              <w:ind w:left="1800"/>
              <w:rPr>
                <w:rFonts w:eastAsia="Times New Roman" w:cs="Times New Roman"/>
                <w:sz w:val="20"/>
                <w:szCs w:val="20"/>
                <w:lang w:val="en" w:eastAsia="en-GB"/>
              </w:rPr>
            </w:pPr>
          </w:p>
          <w:p w:rsidR="00E956AF" w:rsidRDefault="00E956AF" w:rsidP="00A7154B">
            <w:pPr>
              <w:pStyle w:val="ListParagraph"/>
              <w:numPr>
                <w:ilvl w:val="0"/>
                <w:numId w:val="6"/>
              </w:numPr>
              <w:rPr>
                <w:rFonts w:eastAsia="Times New Roman" w:cs="Times New Roman"/>
                <w:sz w:val="20"/>
                <w:szCs w:val="20"/>
                <w:lang w:val="en" w:eastAsia="en-GB"/>
              </w:rPr>
            </w:pPr>
            <w:r>
              <w:rPr>
                <w:rFonts w:eastAsia="Times New Roman" w:cs="Times New Roman"/>
                <w:sz w:val="20"/>
                <w:szCs w:val="20"/>
                <w:lang w:val="en" w:eastAsia="en-GB"/>
              </w:rPr>
              <w:t>Members of an LLP would need to have an LLP Agreeme</w:t>
            </w:r>
            <w:r w:rsidR="00C75A53">
              <w:rPr>
                <w:rFonts w:eastAsia="Times New Roman" w:cs="Times New Roman"/>
                <w:sz w:val="20"/>
                <w:szCs w:val="20"/>
                <w:lang w:val="en" w:eastAsia="en-GB"/>
              </w:rPr>
              <w:t xml:space="preserve">nt. If they fail to dos o they will be governed by the default provision as identified in the </w:t>
            </w:r>
            <w:r>
              <w:rPr>
                <w:rFonts w:eastAsia="Times New Roman" w:cs="Times New Roman"/>
                <w:sz w:val="20"/>
                <w:szCs w:val="20"/>
                <w:lang w:val="en" w:eastAsia="en-GB"/>
              </w:rPr>
              <w:t>LLPA 2000</w:t>
            </w:r>
            <w:r w:rsidR="00C75A53">
              <w:rPr>
                <w:rFonts w:eastAsia="Times New Roman" w:cs="Times New Roman"/>
                <w:sz w:val="20"/>
                <w:szCs w:val="20"/>
                <w:lang w:val="en" w:eastAsia="en-GB"/>
              </w:rPr>
              <w:t xml:space="preserve"> (i.e. the principal legislation). This</w:t>
            </w:r>
            <w:r>
              <w:rPr>
                <w:rFonts w:eastAsia="Times New Roman" w:cs="Times New Roman"/>
                <w:sz w:val="20"/>
                <w:szCs w:val="20"/>
                <w:lang w:val="en" w:eastAsia="en-GB"/>
              </w:rPr>
              <w:t xml:space="preserve"> </w:t>
            </w:r>
            <w:r w:rsidR="00C75A53">
              <w:rPr>
                <w:rFonts w:eastAsia="Times New Roman" w:cs="Times New Roman"/>
                <w:sz w:val="20"/>
                <w:szCs w:val="20"/>
                <w:lang w:val="en" w:eastAsia="en-GB"/>
              </w:rPr>
              <w:t>would be</w:t>
            </w:r>
            <w:r>
              <w:rPr>
                <w:rFonts w:eastAsia="Times New Roman" w:cs="Times New Roman"/>
                <w:sz w:val="20"/>
                <w:szCs w:val="20"/>
                <w:lang w:val="en" w:eastAsia="en-GB"/>
              </w:rPr>
              <w:t xml:space="preserve"> </w:t>
            </w:r>
            <w:r w:rsidR="00C75A53">
              <w:rPr>
                <w:rFonts w:eastAsia="Times New Roman" w:cs="Times New Roman"/>
                <w:sz w:val="20"/>
                <w:szCs w:val="20"/>
                <w:lang w:val="en" w:eastAsia="en-GB"/>
              </w:rPr>
              <w:t xml:space="preserve">an </w:t>
            </w:r>
            <w:r>
              <w:rPr>
                <w:rFonts w:eastAsia="Times New Roman" w:cs="Times New Roman"/>
                <w:sz w:val="20"/>
                <w:szCs w:val="20"/>
                <w:lang w:val="en" w:eastAsia="en-GB"/>
              </w:rPr>
              <w:t>unsatisfactory</w:t>
            </w:r>
            <w:r w:rsidR="00C75A53">
              <w:rPr>
                <w:rFonts w:eastAsia="Times New Roman" w:cs="Times New Roman"/>
                <w:sz w:val="20"/>
                <w:szCs w:val="20"/>
                <w:lang w:val="en" w:eastAsia="en-GB"/>
              </w:rPr>
              <w:t xml:space="preserve"> position for GPs to find themselves in</w:t>
            </w:r>
            <w:r>
              <w:rPr>
                <w:rFonts w:eastAsia="Times New Roman" w:cs="Times New Roman"/>
                <w:sz w:val="20"/>
                <w:szCs w:val="20"/>
                <w:lang w:val="en" w:eastAsia="en-GB"/>
              </w:rPr>
              <w:t xml:space="preserve">. To name some of the issues that the default position </w:t>
            </w:r>
            <w:r w:rsidR="00C75A53">
              <w:rPr>
                <w:rFonts w:eastAsia="Times New Roman" w:cs="Times New Roman"/>
                <w:sz w:val="20"/>
                <w:szCs w:val="20"/>
                <w:lang w:val="en" w:eastAsia="en-GB"/>
              </w:rPr>
              <w:t>creates:-</w:t>
            </w:r>
          </w:p>
          <w:p w:rsidR="00E956AF" w:rsidRDefault="00E956AF" w:rsidP="00A7154B">
            <w:pPr>
              <w:pStyle w:val="ListParagraph"/>
              <w:ind w:left="360"/>
              <w:rPr>
                <w:rFonts w:eastAsia="Times New Roman" w:cs="Times New Roman"/>
                <w:sz w:val="20"/>
                <w:szCs w:val="20"/>
                <w:lang w:val="en" w:eastAsia="en-GB"/>
              </w:rPr>
            </w:pP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 xml:space="preserve">All </w:t>
            </w:r>
            <w:r w:rsidR="00C75A53">
              <w:rPr>
                <w:rFonts w:eastAsia="Times New Roman" w:cs="Times New Roman"/>
                <w:sz w:val="20"/>
                <w:szCs w:val="20"/>
                <w:lang w:val="en" w:eastAsia="en-GB"/>
              </w:rPr>
              <w:t>members</w:t>
            </w:r>
            <w:r>
              <w:rPr>
                <w:rFonts w:eastAsia="Times New Roman" w:cs="Times New Roman"/>
                <w:sz w:val="20"/>
                <w:szCs w:val="20"/>
                <w:lang w:val="en" w:eastAsia="en-GB"/>
              </w:rPr>
              <w:t xml:space="preserve"> share equally in the capital and profits;</w:t>
            </w: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No majority of members can expel another member;</w:t>
            </w: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There are no effective limits on what a member can commit the LLP to (e.g. entering into contracts over a set amount)</w:t>
            </w:r>
          </w:p>
          <w:p w:rsidR="00E956AF" w:rsidRDefault="00E956AF" w:rsidP="00A7154B">
            <w:pPr>
              <w:pStyle w:val="ListParagraph"/>
              <w:numPr>
                <w:ilvl w:val="1"/>
                <w:numId w:val="6"/>
              </w:numPr>
              <w:rPr>
                <w:rFonts w:eastAsia="Times New Roman" w:cs="Times New Roman"/>
                <w:sz w:val="20"/>
                <w:szCs w:val="20"/>
                <w:lang w:val="en" w:eastAsia="en-GB"/>
              </w:rPr>
            </w:pPr>
            <w:r>
              <w:rPr>
                <w:rFonts w:eastAsia="Times New Roman" w:cs="Times New Roman"/>
                <w:sz w:val="20"/>
                <w:szCs w:val="20"/>
                <w:lang w:val="en" w:eastAsia="en-GB"/>
              </w:rPr>
              <w:t xml:space="preserve">It doesn’t cater for GP specific provisions (including sessional commitments of the members, the need to remain on the performers list, suspension etc.) </w:t>
            </w:r>
          </w:p>
          <w:p w:rsidR="00C75A53" w:rsidRPr="00C75A53" w:rsidRDefault="00C75A53" w:rsidP="00C75A53">
            <w:pPr>
              <w:pStyle w:val="ListParagraph"/>
              <w:ind w:left="1080"/>
              <w:rPr>
                <w:rFonts w:eastAsia="Times New Roman" w:cs="Times New Roman"/>
                <w:sz w:val="20"/>
                <w:szCs w:val="20"/>
                <w:lang w:val="en" w:eastAsia="en-GB"/>
              </w:rPr>
            </w:pPr>
          </w:p>
        </w:tc>
      </w:tr>
      <w:tr w:rsidR="00E956AF" w:rsidTr="00E061CB">
        <w:tc>
          <w:tcPr>
            <w:tcW w:w="846" w:type="dxa"/>
          </w:tcPr>
          <w:p w:rsidR="00E956AF" w:rsidRPr="00386F74" w:rsidRDefault="00E956AF" w:rsidP="00D43BE4">
            <w:pPr>
              <w:ind w:left="1440"/>
              <w:rPr>
                <w:b/>
                <w:sz w:val="20"/>
                <w:szCs w:val="20"/>
              </w:rPr>
            </w:pPr>
            <w:r>
              <w:rPr>
                <w:b/>
                <w:sz w:val="20"/>
                <w:szCs w:val="20"/>
              </w:rPr>
              <w:lastRenderedPageBreak/>
              <w:t>5</w:t>
            </w:r>
          </w:p>
        </w:tc>
        <w:tc>
          <w:tcPr>
            <w:tcW w:w="1893" w:type="dxa"/>
          </w:tcPr>
          <w:p w:rsidR="00E956AF" w:rsidRPr="00386F74" w:rsidRDefault="00E956AF" w:rsidP="00A7154B">
            <w:pPr>
              <w:rPr>
                <w:b/>
                <w:sz w:val="20"/>
                <w:szCs w:val="20"/>
              </w:rPr>
            </w:pPr>
            <w:r w:rsidRPr="00386F74">
              <w:rPr>
                <w:b/>
                <w:sz w:val="20"/>
                <w:szCs w:val="20"/>
              </w:rPr>
              <w:t>Other considerations</w:t>
            </w:r>
          </w:p>
          <w:p w:rsidR="00E956AF" w:rsidRPr="00386F74" w:rsidRDefault="00E956AF" w:rsidP="00A7154B">
            <w:pPr>
              <w:rPr>
                <w:b/>
                <w:sz w:val="20"/>
                <w:szCs w:val="20"/>
              </w:rPr>
            </w:pPr>
          </w:p>
        </w:tc>
        <w:tc>
          <w:tcPr>
            <w:tcW w:w="7074" w:type="dxa"/>
          </w:tcPr>
          <w:p w:rsidR="00E956AF" w:rsidRDefault="00E956AF" w:rsidP="00A7154B">
            <w:pPr>
              <w:rPr>
                <w:b/>
                <w:sz w:val="20"/>
                <w:szCs w:val="20"/>
              </w:rPr>
            </w:pPr>
            <w:r>
              <w:rPr>
                <w:b/>
                <w:sz w:val="20"/>
                <w:szCs w:val="20"/>
              </w:rPr>
              <w:t xml:space="preserve">Transferring </w:t>
            </w:r>
            <w:r w:rsidR="009F63D5">
              <w:rPr>
                <w:b/>
                <w:sz w:val="20"/>
                <w:szCs w:val="20"/>
              </w:rPr>
              <w:t>of contracts.</w:t>
            </w:r>
          </w:p>
          <w:p w:rsidR="00E956AF" w:rsidRDefault="009F63D5" w:rsidP="00A7154B">
            <w:pPr>
              <w:rPr>
                <w:sz w:val="20"/>
                <w:szCs w:val="20"/>
              </w:rPr>
            </w:pPr>
            <w:r>
              <w:rPr>
                <w:sz w:val="20"/>
                <w:szCs w:val="20"/>
              </w:rPr>
              <w:t>Leaving aside the</w:t>
            </w:r>
            <w:r w:rsidR="006F62BA">
              <w:rPr>
                <w:sz w:val="20"/>
                <w:szCs w:val="20"/>
              </w:rPr>
              <w:t xml:space="preserve"> possible</w:t>
            </w:r>
            <w:r>
              <w:rPr>
                <w:sz w:val="20"/>
                <w:szCs w:val="20"/>
              </w:rPr>
              <w:t xml:space="preserve"> issues discussed </w:t>
            </w:r>
            <w:r w:rsidR="00E061CB">
              <w:rPr>
                <w:sz w:val="20"/>
                <w:szCs w:val="20"/>
              </w:rPr>
              <w:t xml:space="preserve">in section 3 (b) </w:t>
            </w:r>
            <w:r>
              <w:rPr>
                <w:sz w:val="20"/>
                <w:szCs w:val="20"/>
              </w:rPr>
              <w:t xml:space="preserve">above in connection </w:t>
            </w:r>
            <w:r w:rsidR="006F62BA">
              <w:rPr>
                <w:sz w:val="20"/>
                <w:szCs w:val="20"/>
              </w:rPr>
              <w:t>with how commissioners may treat core contracts that are “transferred” it is worth considering what a practice may face if it were to seek to transfer its staff contracts and any premises lease agreements into an LLP.</w:t>
            </w:r>
          </w:p>
          <w:p w:rsidR="006F62BA" w:rsidRPr="007470A6" w:rsidRDefault="006F62BA" w:rsidP="00A7154B">
            <w:pPr>
              <w:rPr>
                <w:b/>
                <w:sz w:val="20"/>
                <w:szCs w:val="20"/>
              </w:rPr>
            </w:pPr>
            <w:r w:rsidRPr="007470A6">
              <w:rPr>
                <w:b/>
                <w:sz w:val="20"/>
                <w:szCs w:val="20"/>
              </w:rPr>
              <w:t>Staff.</w:t>
            </w:r>
          </w:p>
          <w:p w:rsidR="007470A6" w:rsidRDefault="00C92834" w:rsidP="00A7154B">
            <w:pPr>
              <w:rPr>
                <w:sz w:val="20"/>
                <w:szCs w:val="20"/>
              </w:rPr>
            </w:pPr>
            <w:r>
              <w:rPr>
                <w:sz w:val="20"/>
                <w:szCs w:val="20"/>
              </w:rPr>
              <w:lastRenderedPageBreak/>
              <w:t>In the event that an existing practice were to incorporate as an LLP the partners / practitioner would need to (or at the very least would be deemed to) transfer the business they operate</w:t>
            </w:r>
            <w:r w:rsidR="00E061CB">
              <w:rPr>
                <w:sz w:val="20"/>
                <w:szCs w:val="20"/>
              </w:rPr>
              <w:t>d</w:t>
            </w:r>
            <w:r>
              <w:rPr>
                <w:sz w:val="20"/>
                <w:szCs w:val="20"/>
              </w:rPr>
              <w:t xml:space="preserve"> as a going concern to the LLP. </w:t>
            </w:r>
          </w:p>
          <w:p w:rsidR="006F62BA" w:rsidRDefault="00C92834" w:rsidP="00A7154B">
            <w:pPr>
              <w:rPr>
                <w:sz w:val="20"/>
                <w:szCs w:val="20"/>
              </w:rPr>
            </w:pPr>
            <w:r>
              <w:rPr>
                <w:sz w:val="20"/>
                <w:szCs w:val="20"/>
              </w:rPr>
              <w:t xml:space="preserve">As part of this the partners / practitioner will need to follow the requirements under the Transfer of Undertakings (Protection of Employment) Regulations 2006 (TUPE). This requires the staff to be consulted </w:t>
            </w:r>
            <w:r w:rsidR="007470A6">
              <w:rPr>
                <w:sz w:val="20"/>
                <w:szCs w:val="20"/>
              </w:rPr>
              <w:t xml:space="preserve">and informed </w:t>
            </w:r>
            <w:r>
              <w:rPr>
                <w:sz w:val="20"/>
                <w:szCs w:val="20"/>
              </w:rPr>
              <w:t>on th</w:t>
            </w:r>
            <w:r w:rsidR="007470A6">
              <w:rPr>
                <w:sz w:val="20"/>
                <w:szCs w:val="20"/>
              </w:rPr>
              <w:t xml:space="preserve">e changes that are taking place, the date they will take place (or proposed date) and the legal, social and economic implications of the transfer of the business to the LLP. This should just represent an administrative task but nevertheless it </w:t>
            </w:r>
            <w:r w:rsidR="00E061CB">
              <w:rPr>
                <w:sz w:val="20"/>
                <w:szCs w:val="20"/>
              </w:rPr>
              <w:t xml:space="preserve">is a task that </w:t>
            </w:r>
            <w:r w:rsidR="007470A6">
              <w:rPr>
                <w:sz w:val="20"/>
                <w:szCs w:val="20"/>
              </w:rPr>
              <w:t xml:space="preserve">must be followed. </w:t>
            </w:r>
            <w:r>
              <w:rPr>
                <w:sz w:val="20"/>
                <w:szCs w:val="20"/>
              </w:rPr>
              <w:t xml:space="preserve"> </w:t>
            </w:r>
          </w:p>
          <w:p w:rsidR="00E956AF" w:rsidRPr="006F62BA" w:rsidRDefault="00E956AF" w:rsidP="00A7154B">
            <w:pPr>
              <w:rPr>
                <w:b/>
                <w:sz w:val="20"/>
                <w:szCs w:val="20"/>
              </w:rPr>
            </w:pPr>
            <w:r w:rsidRPr="00D902C5">
              <w:rPr>
                <w:b/>
                <w:sz w:val="20"/>
                <w:szCs w:val="20"/>
              </w:rPr>
              <w:t>Leases.</w:t>
            </w:r>
          </w:p>
          <w:p w:rsidR="00E956AF" w:rsidRDefault="006F62BA" w:rsidP="00A7154B">
            <w:pPr>
              <w:rPr>
                <w:sz w:val="20"/>
                <w:szCs w:val="20"/>
              </w:rPr>
            </w:pPr>
            <w:r>
              <w:rPr>
                <w:sz w:val="20"/>
                <w:szCs w:val="20"/>
              </w:rPr>
              <w:t>M</w:t>
            </w:r>
            <w:r w:rsidR="00E956AF">
              <w:rPr>
                <w:sz w:val="20"/>
                <w:szCs w:val="20"/>
              </w:rPr>
              <w:t xml:space="preserve">ost landlords will be exceptionally cautious of accepting an LLP as a tenant (given its limited liability status) without personal guarantees being given from the individual members. </w:t>
            </w:r>
          </w:p>
          <w:p w:rsidR="00C92834" w:rsidRDefault="00E956AF" w:rsidP="00A7154B">
            <w:pPr>
              <w:rPr>
                <w:sz w:val="20"/>
                <w:szCs w:val="20"/>
              </w:rPr>
            </w:pPr>
            <w:r>
              <w:rPr>
                <w:sz w:val="20"/>
                <w:szCs w:val="20"/>
              </w:rPr>
              <w:t>This is something that the GPs will need to negotiate. Such negotiations tend to be easier where a new lease is being entered into. They do, however, prove more difficult where GPs are seeking to “assign” an existing lease that is in their personal names into a newly formed LLP. That said, the GPs can offer ‘sweeteners’ including a rent deposi</w:t>
            </w:r>
            <w:r w:rsidR="00E061CB">
              <w:rPr>
                <w:sz w:val="20"/>
                <w:szCs w:val="20"/>
              </w:rPr>
              <w:t xml:space="preserve">t or a time limited guarantee. </w:t>
            </w:r>
          </w:p>
        </w:tc>
      </w:tr>
    </w:tbl>
    <w:p w:rsidR="00E956AF" w:rsidRDefault="00E956AF" w:rsidP="00E956AF">
      <w:pPr>
        <w:rPr>
          <w:sz w:val="20"/>
          <w:szCs w:val="20"/>
        </w:rPr>
      </w:pPr>
    </w:p>
    <w:p w:rsidR="00E956AF" w:rsidRPr="009F63D5" w:rsidRDefault="00E956AF" w:rsidP="006F62BA">
      <w:pPr>
        <w:ind w:right="759"/>
        <w:rPr>
          <w:b/>
          <w:sz w:val="20"/>
          <w:szCs w:val="20"/>
        </w:rPr>
      </w:pPr>
      <w:r w:rsidRPr="009F63D5">
        <w:rPr>
          <w:b/>
          <w:sz w:val="20"/>
          <w:szCs w:val="20"/>
        </w:rPr>
        <w:t xml:space="preserve">Concluding comments: </w:t>
      </w:r>
    </w:p>
    <w:p w:rsidR="00C75A53" w:rsidRDefault="00F665DC" w:rsidP="006F62BA">
      <w:pPr>
        <w:ind w:right="759"/>
        <w:rPr>
          <w:rFonts w:eastAsia="Times New Roman"/>
          <w:sz w:val="20"/>
          <w:szCs w:val="20"/>
          <w:lang w:val="en" w:eastAsia="en-GB"/>
        </w:rPr>
      </w:pPr>
      <w:r>
        <w:rPr>
          <w:rFonts w:eastAsia="Times New Roman"/>
          <w:sz w:val="20"/>
          <w:szCs w:val="20"/>
          <w:lang w:val="en" w:eastAsia="en-GB"/>
        </w:rPr>
        <w:t>A</w:t>
      </w:r>
      <w:r w:rsidRPr="00F665DC">
        <w:rPr>
          <w:rFonts w:eastAsia="Times New Roman"/>
          <w:sz w:val="20"/>
          <w:szCs w:val="20"/>
          <w:lang w:val="en" w:eastAsia="en-GB"/>
        </w:rPr>
        <w:t>s a legal entity, the use of an LLP could well help mitigate “last man/ woman standing issues”.</w:t>
      </w:r>
      <w:r w:rsidR="0085091D">
        <w:rPr>
          <w:rFonts w:eastAsia="Times New Roman"/>
          <w:sz w:val="20"/>
          <w:szCs w:val="20"/>
          <w:lang w:val="en" w:eastAsia="en-GB"/>
        </w:rPr>
        <w:t xml:space="preserve"> </w:t>
      </w:r>
    </w:p>
    <w:p w:rsidR="0085091D" w:rsidRDefault="00C75A53" w:rsidP="006F62BA">
      <w:pPr>
        <w:ind w:right="759"/>
        <w:rPr>
          <w:rFonts w:eastAsia="Times New Roman"/>
          <w:sz w:val="20"/>
          <w:szCs w:val="20"/>
          <w:lang w:val="en" w:eastAsia="en-GB"/>
        </w:rPr>
      </w:pPr>
      <w:r>
        <w:rPr>
          <w:rFonts w:eastAsia="Times New Roman"/>
          <w:sz w:val="20"/>
          <w:szCs w:val="20"/>
          <w:lang w:val="en" w:eastAsia="en-GB"/>
        </w:rPr>
        <w:t xml:space="preserve">As mentioned above, LLPs have their own legal </w:t>
      </w:r>
      <w:proofErr w:type="gramStart"/>
      <w:r>
        <w:rPr>
          <w:rFonts w:eastAsia="Times New Roman"/>
          <w:sz w:val="20"/>
          <w:szCs w:val="20"/>
          <w:lang w:val="en" w:eastAsia="en-GB"/>
        </w:rPr>
        <w:t>identity which are</w:t>
      </w:r>
      <w:proofErr w:type="gramEnd"/>
      <w:r>
        <w:rPr>
          <w:rFonts w:eastAsia="Times New Roman"/>
          <w:sz w:val="20"/>
          <w:szCs w:val="20"/>
          <w:lang w:val="en" w:eastAsia="en-GB"/>
        </w:rPr>
        <w:t xml:space="preserve"> capable, in their</w:t>
      </w:r>
      <w:r w:rsidR="00F665DC">
        <w:rPr>
          <w:rFonts w:eastAsia="Times New Roman"/>
          <w:sz w:val="20"/>
          <w:szCs w:val="20"/>
          <w:lang w:val="en" w:eastAsia="en-GB"/>
        </w:rPr>
        <w:t xml:space="preserve"> own right, </w:t>
      </w:r>
      <w:r>
        <w:rPr>
          <w:rFonts w:eastAsia="Times New Roman"/>
          <w:sz w:val="20"/>
          <w:szCs w:val="20"/>
          <w:lang w:val="en" w:eastAsia="en-GB"/>
        </w:rPr>
        <w:t>of</w:t>
      </w:r>
      <w:r w:rsidR="00F665DC">
        <w:rPr>
          <w:rFonts w:eastAsia="Times New Roman"/>
          <w:sz w:val="20"/>
          <w:szCs w:val="20"/>
          <w:lang w:val="en" w:eastAsia="en-GB"/>
        </w:rPr>
        <w:t xml:space="preserve"> enter</w:t>
      </w:r>
      <w:r>
        <w:rPr>
          <w:rFonts w:eastAsia="Times New Roman"/>
          <w:sz w:val="20"/>
          <w:szCs w:val="20"/>
          <w:lang w:val="en" w:eastAsia="en-GB"/>
        </w:rPr>
        <w:t>ing into and/or holding contracts. With this being the case GPs</w:t>
      </w:r>
      <w:r w:rsidR="00F665DC">
        <w:rPr>
          <w:rFonts w:eastAsia="Times New Roman"/>
          <w:sz w:val="20"/>
          <w:szCs w:val="20"/>
          <w:lang w:val="en" w:eastAsia="en-GB"/>
        </w:rPr>
        <w:t xml:space="preserve"> incorporated in this way could </w:t>
      </w:r>
      <w:r>
        <w:rPr>
          <w:rFonts w:eastAsia="Times New Roman"/>
          <w:sz w:val="20"/>
          <w:szCs w:val="20"/>
          <w:lang w:val="en" w:eastAsia="en-GB"/>
        </w:rPr>
        <w:t xml:space="preserve">look to ensure that all </w:t>
      </w:r>
      <w:r w:rsidR="00F665DC" w:rsidRPr="00F665DC">
        <w:rPr>
          <w:rFonts w:eastAsia="Times New Roman"/>
          <w:sz w:val="20"/>
          <w:szCs w:val="20"/>
          <w:lang w:val="en" w:eastAsia="en-GB"/>
        </w:rPr>
        <w:t>i) staff</w:t>
      </w:r>
      <w:r>
        <w:rPr>
          <w:rFonts w:eastAsia="Times New Roman"/>
          <w:sz w:val="20"/>
          <w:szCs w:val="20"/>
          <w:lang w:val="en" w:eastAsia="en-GB"/>
        </w:rPr>
        <w:t xml:space="preserve"> contracts </w:t>
      </w:r>
      <w:r w:rsidR="00F665DC" w:rsidRPr="00F665DC">
        <w:rPr>
          <w:rFonts w:eastAsia="Times New Roman"/>
          <w:sz w:val="20"/>
          <w:szCs w:val="20"/>
          <w:lang w:val="en" w:eastAsia="en-GB"/>
        </w:rPr>
        <w:t xml:space="preserve">, ii) commercial </w:t>
      </w:r>
      <w:r>
        <w:rPr>
          <w:rFonts w:eastAsia="Times New Roman"/>
          <w:sz w:val="20"/>
          <w:szCs w:val="20"/>
          <w:lang w:val="en" w:eastAsia="en-GB"/>
        </w:rPr>
        <w:t>contracts</w:t>
      </w:r>
      <w:r w:rsidR="00F665DC" w:rsidRPr="00F665DC">
        <w:rPr>
          <w:rFonts w:eastAsia="Times New Roman"/>
          <w:sz w:val="20"/>
          <w:szCs w:val="20"/>
          <w:lang w:val="en" w:eastAsia="en-GB"/>
        </w:rPr>
        <w:t xml:space="preserve"> (such as Peninsula, equipment hire or IT systems) and ii) </w:t>
      </w:r>
      <w:r w:rsidR="0085091D">
        <w:rPr>
          <w:rFonts w:eastAsia="Times New Roman"/>
          <w:sz w:val="20"/>
          <w:szCs w:val="20"/>
          <w:lang w:val="en" w:eastAsia="en-GB"/>
        </w:rPr>
        <w:t>premises agreements (leases)</w:t>
      </w:r>
      <w:r w:rsidR="00F665DC" w:rsidRPr="00F665DC">
        <w:rPr>
          <w:rFonts w:eastAsia="Times New Roman"/>
          <w:sz w:val="20"/>
          <w:szCs w:val="20"/>
          <w:lang w:val="en" w:eastAsia="en-GB"/>
        </w:rPr>
        <w:t xml:space="preserve"> vest with the LLP. </w:t>
      </w:r>
    </w:p>
    <w:p w:rsidR="0085091D" w:rsidRDefault="0085091D" w:rsidP="006F62BA">
      <w:pPr>
        <w:ind w:right="759"/>
        <w:rPr>
          <w:rFonts w:eastAsia="Times New Roman"/>
          <w:sz w:val="20"/>
          <w:szCs w:val="20"/>
          <w:lang w:val="en" w:eastAsia="en-GB"/>
        </w:rPr>
      </w:pPr>
      <w:r>
        <w:rPr>
          <w:rFonts w:eastAsia="Times New Roman"/>
          <w:sz w:val="20"/>
          <w:szCs w:val="20"/>
          <w:lang w:val="en" w:eastAsia="en-GB"/>
        </w:rPr>
        <w:t xml:space="preserve">Having regard to the above, and assuming none of the circumstances in section 3 (e) apply, if the practice became unviable and had to close the subsisting liabilities held by the LLP would rest with the LLP itself. </w:t>
      </w:r>
      <w:r w:rsidR="00F665DC" w:rsidRPr="00F665DC">
        <w:rPr>
          <w:rFonts w:eastAsia="Times New Roman"/>
          <w:sz w:val="20"/>
          <w:szCs w:val="20"/>
          <w:lang w:val="en" w:eastAsia="en-GB"/>
        </w:rPr>
        <w:t xml:space="preserve">If the LLPs assets </w:t>
      </w:r>
      <w:r>
        <w:rPr>
          <w:rFonts w:eastAsia="Times New Roman"/>
          <w:sz w:val="20"/>
          <w:szCs w:val="20"/>
          <w:lang w:val="en" w:eastAsia="en-GB"/>
        </w:rPr>
        <w:t>were</w:t>
      </w:r>
      <w:r w:rsidR="00F665DC" w:rsidRPr="00F665DC">
        <w:rPr>
          <w:rFonts w:eastAsia="Times New Roman"/>
          <w:sz w:val="20"/>
          <w:szCs w:val="20"/>
          <w:lang w:val="en" w:eastAsia="en-GB"/>
        </w:rPr>
        <w:t xml:space="preserve"> insufficient </w:t>
      </w:r>
      <w:r>
        <w:rPr>
          <w:rFonts w:eastAsia="Times New Roman"/>
          <w:sz w:val="20"/>
          <w:szCs w:val="20"/>
          <w:lang w:val="en" w:eastAsia="en-GB"/>
        </w:rPr>
        <w:t>to meet these liabilities then an individual member would</w:t>
      </w:r>
      <w:r w:rsidR="00F665DC" w:rsidRPr="00F665DC">
        <w:rPr>
          <w:rFonts w:eastAsia="Times New Roman"/>
          <w:sz w:val="20"/>
          <w:szCs w:val="20"/>
          <w:lang w:val="en" w:eastAsia="en-GB"/>
        </w:rPr>
        <w:t xml:space="preserve"> not pick up the shortfall. Their liability is limited to the sums they have contributed to the LLP itself.</w:t>
      </w:r>
    </w:p>
    <w:p w:rsidR="0085091D" w:rsidRDefault="0085091D" w:rsidP="006F62BA">
      <w:pPr>
        <w:ind w:right="759"/>
        <w:rPr>
          <w:rFonts w:eastAsia="Times New Roman"/>
          <w:sz w:val="20"/>
          <w:szCs w:val="20"/>
          <w:lang w:val="en" w:eastAsia="en-GB"/>
        </w:rPr>
      </w:pPr>
      <w:r>
        <w:rPr>
          <w:rFonts w:eastAsia="Times New Roman"/>
          <w:sz w:val="20"/>
          <w:szCs w:val="20"/>
          <w:lang w:val="en" w:eastAsia="en-GB"/>
        </w:rPr>
        <w:t>Notwithstanding the above it is important to consider the following:-</w:t>
      </w:r>
    </w:p>
    <w:p w:rsidR="0085091D" w:rsidRDefault="0085091D" w:rsidP="006F62BA">
      <w:pPr>
        <w:pStyle w:val="ListParagraph"/>
        <w:numPr>
          <w:ilvl w:val="0"/>
          <w:numId w:val="9"/>
        </w:numPr>
        <w:ind w:right="759"/>
        <w:rPr>
          <w:rFonts w:eastAsia="Times New Roman"/>
          <w:sz w:val="20"/>
          <w:szCs w:val="20"/>
          <w:lang w:val="en" w:eastAsia="en-GB"/>
        </w:rPr>
      </w:pPr>
      <w:r>
        <w:rPr>
          <w:rFonts w:eastAsia="Times New Roman"/>
          <w:sz w:val="20"/>
          <w:szCs w:val="20"/>
          <w:lang w:val="en" w:eastAsia="en-GB"/>
        </w:rPr>
        <w:t>GPs are already entitled to establish corporate entities (in the form of companies limited by shares). These entities are similarly entitled to enter into</w:t>
      </w:r>
      <w:r w:rsidR="00C92834">
        <w:rPr>
          <w:rFonts w:eastAsia="Times New Roman"/>
          <w:sz w:val="20"/>
          <w:szCs w:val="20"/>
          <w:lang w:val="en" w:eastAsia="en-GB"/>
        </w:rPr>
        <w:t xml:space="preserve"> and hold contracts. They also </w:t>
      </w:r>
      <w:r>
        <w:rPr>
          <w:rFonts w:eastAsia="Times New Roman"/>
          <w:sz w:val="20"/>
          <w:szCs w:val="20"/>
          <w:lang w:val="en" w:eastAsia="en-GB"/>
        </w:rPr>
        <w:t xml:space="preserve">have limited liability </w:t>
      </w:r>
      <w:r w:rsidR="00C92834">
        <w:rPr>
          <w:rFonts w:eastAsia="Times New Roman"/>
          <w:sz w:val="20"/>
          <w:szCs w:val="20"/>
          <w:lang w:val="en" w:eastAsia="en-GB"/>
        </w:rPr>
        <w:t xml:space="preserve">status. The exposure of shareholders </w:t>
      </w:r>
      <w:r>
        <w:rPr>
          <w:rFonts w:eastAsia="Times New Roman"/>
          <w:sz w:val="20"/>
          <w:szCs w:val="20"/>
          <w:lang w:val="en" w:eastAsia="en-GB"/>
        </w:rPr>
        <w:t xml:space="preserve">to liability (on the basis that the nominal </w:t>
      </w:r>
      <w:proofErr w:type="gramStart"/>
      <w:r>
        <w:rPr>
          <w:rFonts w:eastAsia="Times New Roman"/>
          <w:sz w:val="20"/>
          <w:szCs w:val="20"/>
          <w:lang w:val="en" w:eastAsia="en-GB"/>
        </w:rPr>
        <w:t>value of the shares in the company are</w:t>
      </w:r>
      <w:proofErr w:type="gramEnd"/>
      <w:r>
        <w:rPr>
          <w:rFonts w:eastAsia="Times New Roman"/>
          <w:sz w:val="20"/>
          <w:szCs w:val="20"/>
          <w:lang w:val="en" w:eastAsia="en-GB"/>
        </w:rPr>
        <w:t xml:space="preserve"> all fully paid up) is limited to their share capital.</w:t>
      </w:r>
      <w:r w:rsidR="00FA2EC9">
        <w:rPr>
          <w:rFonts w:eastAsia="Times New Roman"/>
          <w:sz w:val="20"/>
          <w:szCs w:val="20"/>
          <w:lang w:val="en" w:eastAsia="en-GB"/>
        </w:rPr>
        <w:t xml:space="preserve"> </w:t>
      </w:r>
    </w:p>
    <w:p w:rsidR="009F63D5" w:rsidRDefault="009F63D5" w:rsidP="006F62BA">
      <w:pPr>
        <w:pStyle w:val="ListParagraph"/>
        <w:ind w:left="1080" w:right="759"/>
        <w:rPr>
          <w:rFonts w:eastAsia="Times New Roman"/>
          <w:sz w:val="20"/>
          <w:szCs w:val="20"/>
          <w:lang w:val="en" w:eastAsia="en-GB"/>
        </w:rPr>
      </w:pPr>
    </w:p>
    <w:p w:rsidR="009F63D5" w:rsidRDefault="009F63D5" w:rsidP="006F62BA">
      <w:pPr>
        <w:pStyle w:val="ListParagraph"/>
        <w:ind w:left="1080" w:right="759"/>
        <w:rPr>
          <w:rFonts w:eastAsia="Times New Roman"/>
          <w:sz w:val="20"/>
          <w:szCs w:val="20"/>
          <w:lang w:val="en" w:eastAsia="en-GB"/>
        </w:rPr>
      </w:pPr>
      <w:r>
        <w:rPr>
          <w:rFonts w:eastAsia="Times New Roman"/>
          <w:sz w:val="20"/>
          <w:szCs w:val="20"/>
          <w:lang w:val="en" w:eastAsia="en-GB"/>
        </w:rPr>
        <w:t>It is, howev</w:t>
      </w:r>
      <w:r w:rsidR="007470A6">
        <w:rPr>
          <w:rFonts w:eastAsia="Times New Roman"/>
          <w:sz w:val="20"/>
          <w:szCs w:val="20"/>
          <w:lang w:val="en" w:eastAsia="en-GB"/>
        </w:rPr>
        <w:t xml:space="preserve">er, important to note that in many industries where </w:t>
      </w:r>
      <w:r>
        <w:rPr>
          <w:rFonts w:eastAsia="Times New Roman"/>
          <w:sz w:val="20"/>
          <w:szCs w:val="20"/>
          <w:lang w:val="en" w:eastAsia="en-GB"/>
        </w:rPr>
        <w:t xml:space="preserve">partnerships </w:t>
      </w:r>
      <w:r w:rsidR="007470A6">
        <w:rPr>
          <w:rFonts w:eastAsia="Times New Roman"/>
          <w:sz w:val="20"/>
          <w:szCs w:val="20"/>
          <w:lang w:val="en" w:eastAsia="en-GB"/>
        </w:rPr>
        <w:t xml:space="preserve">were the traditional model of ownership (such as the legal profession), LLPs </w:t>
      </w:r>
      <w:r>
        <w:rPr>
          <w:rFonts w:eastAsia="Times New Roman"/>
          <w:sz w:val="20"/>
          <w:szCs w:val="20"/>
          <w:lang w:val="en" w:eastAsia="en-GB"/>
        </w:rPr>
        <w:t xml:space="preserve">have </w:t>
      </w:r>
      <w:r w:rsidR="007470A6">
        <w:rPr>
          <w:rFonts w:eastAsia="Times New Roman"/>
          <w:sz w:val="20"/>
          <w:szCs w:val="20"/>
          <w:lang w:val="en" w:eastAsia="en-GB"/>
        </w:rPr>
        <w:t>undoubtedly proven the choice ‘incorporated’ vehicle to use given their tax treatment</w:t>
      </w:r>
      <w:r>
        <w:rPr>
          <w:rFonts w:eastAsia="Times New Roman"/>
          <w:sz w:val="20"/>
          <w:szCs w:val="20"/>
          <w:lang w:val="en" w:eastAsia="en-GB"/>
        </w:rPr>
        <w:t xml:space="preserve"> and </w:t>
      </w:r>
      <w:r w:rsidR="007470A6">
        <w:rPr>
          <w:rFonts w:eastAsia="Times New Roman"/>
          <w:sz w:val="20"/>
          <w:szCs w:val="20"/>
          <w:lang w:val="en" w:eastAsia="en-GB"/>
        </w:rPr>
        <w:t xml:space="preserve">the fact that they prove less of a </w:t>
      </w:r>
      <w:r>
        <w:rPr>
          <w:rFonts w:eastAsia="Times New Roman"/>
          <w:sz w:val="20"/>
          <w:szCs w:val="20"/>
          <w:lang w:val="en" w:eastAsia="en-GB"/>
        </w:rPr>
        <w:t xml:space="preserve">divergence from the traditional partnership model. </w:t>
      </w:r>
    </w:p>
    <w:p w:rsidR="00FA2EC9" w:rsidRDefault="00FA2EC9" w:rsidP="006F62BA">
      <w:pPr>
        <w:pStyle w:val="ListParagraph"/>
        <w:ind w:left="1080" w:right="759"/>
        <w:rPr>
          <w:rFonts w:eastAsia="Times New Roman"/>
          <w:sz w:val="20"/>
          <w:szCs w:val="20"/>
          <w:lang w:val="en" w:eastAsia="en-GB"/>
        </w:rPr>
      </w:pPr>
    </w:p>
    <w:p w:rsidR="00FA2EC9" w:rsidRDefault="0085091D" w:rsidP="006F62BA">
      <w:pPr>
        <w:pStyle w:val="ListParagraph"/>
        <w:numPr>
          <w:ilvl w:val="0"/>
          <w:numId w:val="9"/>
        </w:numPr>
        <w:ind w:right="759"/>
        <w:rPr>
          <w:rFonts w:eastAsia="Times New Roman"/>
          <w:sz w:val="20"/>
          <w:szCs w:val="20"/>
          <w:lang w:val="en" w:eastAsia="en-GB"/>
        </w:rPr>
      </w:pPr>
      <w:r>
        <w:rPr>
          <w:rFonts w:eastAsia="Times New Roman"/>
          <w:sz w:val="20"/>
          <w:szCs w:val="20"/>
          <w:lang w:val="en" w:eastAsia="en-GB"/>
        </w:rPr>
        <w:t>There would need to be a change in the PMS and GMS Regs to allow these contracts to be held by LLPs.</w:t>
      </w:r>
    </w:p>
    <w:p w:rsidR="009F63D5" w:rsidRPr="009F63D5" w:rsidRDefault="009F63D5" w:rsidP="006F62BA">
      <w:pPr>
        <w:pStyle w:val="ListParagraph"/>
        <w:ind w:left="1080" w:right="759"/>
        <w:rPr>
          <w:rFonts w:eastAsia="Times New Roman"/>
          <w:sz w:val="20"/>
          <w:szCs w:val="20"/>
          <w:lang w:val="en" w:eastAsia="en-GB"/>
        </w:rPr>
      </w:pPr>
    </w:p>
    <w:p w:rsidR="00C75A53" w:rsidRDefault="0085091D" w:rsidP="006F62BA">
      <w:pPr>
        <w:pStyle w:val="ListParagraph"/>
        <w:numPr>
          <w:ilvl w:val="0"/>
          <w:numId w:val="9"/>
        </w:numPr>
        <w:ind w:right="759"/>
        <w:rPr>
          <w:rFonts w:eastAsia="Times New Roman"/>
          <w:sz w:val="20"/>
          <w:szCs w:val="20"/>
          <w:lang w:val="en" w:eastAsia="en-GB"/>
        </w:rPr>
      </w:pPr>
      <w:r>
        <w:rPr>
          <w:rFonts w:eastAsia="Times New Roman"/>
          <w:sz w:val="20"/>
          <w:szCs w:val="20"/>
          <w:lang w:val="en" w:eastAsia="en-GB"/>
        </w:rPr>
        <w:t xml:space="preserve">There is a risk that </w:t>
      </w:r>
      <w:r w:rsidR="009F63D5">
        <w:rPr>
          <w:rFonts w:eastAsia="Times New Roman"/>
          <w:sz w:val="20"/>
          <w:szCs w:val="20"/>
          <w:lang w:val="en" w:eastAsia="en-GB"/>
        </w:rPr>
        <w:t xml:space="preserve">commissioners </w:t>
      </w:r>
      <w:r w:rsidR="00E061CB">
        <w:rPr>
          <w:rFonts w:eastAsia="Times New Roman"/>
          <w:sz w:val="20"/>
          <w:szCs w:val="20"/>
          <w:lang w:val="en" w:eastAsia="en-GB"/>
        </w:rPr>
        <w:t>would have to carry out a procurement exercise to facilitate the change in the contracting party to an LLP</w:t>
      </w:r>
      <w:r w:rsidR="00FA2EC9">
        <w:rPr>
          <w:rFonts w:eastAsia="Times New Roman"/>
          <w:sz w:val="20"/>
          <w:szCs w:val="20"/>
          <w:lang w:val="en" w:eastAsia="en-GB"/>
        </w:rPr>
        <w:t xml:space="preserve">. </w:t>
      </w:r>
      <w:r>
        <w:rPr>
          <w:rFonts w:eastAsia="Times New Roman"/>
          <w:sz w:val="20"/>
          <w:szCs w:val="20"/>
          <w:lang w:val="en" w:eastAsia="en-GB"/>
        </w:rPr>
        <w:t xml:space="preserve"> </w:t>
      </w:r>
      <w:r w:rsidR="00F665DC" w:rsidRPr="0085091D">
        <w:rPr>
          <w:rFonts w:eastAsia="Times New Roman"/>
          <w:sz w:val="20"/>
          <w:szCs w:val="20"/>
          <w:lang w:val="en" w:eastAsia="en-GB"/>
        </w:rPr>
        <w:t xml:space="preserve"> </w:t>
      </w:r>
    </w:p>
    <w:p w:rsidR="009F63D5" w:rsidRDefault="009F63D5" w:rsidP="00E14E22">
      <w:pPr>
        <w:ind w:right="759"/>
        <w:rPr>
          <w:rFonts w:eastAsia="Times New Roman"/>
          <w:sz w:val="20"/>
          <w:szCs w:val="20"/>
          <w:lang w:val="en" w:eastAsia="en-GB"/>
        </w:rPr>
      </w:pPr>
    </w:p>
    <w:p w:rsidR="00E14E22" w:rsidRPr="00CD7439" w:rsidRDefault="00E14E22" w:rsidP="00E14E22">
      <w:pPr>
        <w:ind w:right="759"/>
        <w:rPr>
          <w:rFonts w:eastAsia="Times New Roman"/>
          <w:b/>
          <w:sz w:val="20"/>
          <w:szCs w:val="20"/>
          <w:lang w:val="en" w:eastAsia="en-GB"/>
        </w:rPr>
      </w:pPr>
      <w:r w:rsidRPr="00CD7439">
        <w:rPr>
          <w:rFonts w:eastAsia="Times New Roman"/>
          <w:b/>
          <w:sz w:val="20"/>
          <w:szCs w:val="20"/>
          <w:lang w:val="en" w:eastAsia="en-GB"/>
        </w:rPr>
        <w:t>Disclaimer:</w:t>
      </w:r>
    </w:p>
    <w:p w:rsidR="00E14E22" w:rsidRDefault="00E14E22" w:rsidP="00E14E22">
      <w:pPr>
        <w:pStyle w:val="ListParagraph"/>
        <w:numPr>
          <w:ilvl w:val="0"/>
          <w:numId w:val="14"/>
        </w:numPr>
        <w:ind w:right="759"/>
        <w:rPr>
          <w:sz w:val="20"/>
          <w:szCs w:val="20"/>
        </w:rPr>
      </w:pPr>
      <w:r w:rsidRPr="00E14E22">
        <w:rPr>
          <w:sz w:val="20"/>
          <w:szCs w:val="20"/>
        </w:rPr>
        <w:lastRenderedPageBreak/>
        <w:t xml:space="preserve">This membership guidance note is for information, gives general or limited guidance only and should not be relied upon solely or treated as a complete and authoritative statement in respect of its subject matter. </w:t>
      </w:r>
    </w:p>
    <w:p w:rsidR="00E14E22" w:rsidRPr="00E14E22" w:rsidRDefault="00E14E22" w:rsidP="00E14E22">
      <w:pPr>
        <w:pStyle w:val="ListParagraph"/>
        <w:numPr>
          <w:ilvl w:val="0"/>
          <w:numId w:val="14"/>
        </w:numPr>
        <w:ind w:right="759"/>
        <w:rPr>
          <w:sz w:val="20"/>
          <w:szCs w:val="20"/>
        </w:rPr>
      </w:pPr>
      <w:r w:rsidRPr="00E14E22">
        <w:rPr>
          <w:sz w:val="20"/>
          <w:szCs w:val="20"/>
        </w:rPr>
        <w:t>Members are a</w:t>
      </w:r>
      <w:r>
        <w:rPr>
          <w:sz w:val="20"/>
          <w:szCs w:val="20"/>
        </w:rPr>
        <w:t>dvised to seek legal advice if they are considering the establishment of an LLP as a vehicle through which they run their practice.</w:t>
      </w:r>
    </w:p>
    <w:p w:rsidR="00E14E22" w:rsidRPr="00E14E22" w:rsidRDefault="00E14E22" w:rsidP="00E14E22">
      <w:pPr>
        <w:ind w:right="759"/>
        <w:rPr>
          <w:rFonts w:eastAsia="Times New Roman"/>
          <w:sz w:val="20"/>
          <w:szCs w:val="20"/>
          <w:lang w:val="en" w:eastAsia="en-GB"/>
        </w:rPr>
      </w:pPr>
    </w:p>
    <w:p w:rsidR="00F665DC" w:rsidRPr="00C92834" w:rsidRDefault="009F63D5" w:rsidP="006F62BA">
      <w:pPr>
        <w:ind w:right="759"/>
        <w:rPr>
          <w:rFonts w:eastAsia="Times New Roman"/>
          <w:b/>
          <w:sz w:val="20"/>
          <w:szCs w:val="20"/>
          <w:lang w:val="en" w:eastAsia="en-GB"/>
        </w:rPr>
      </w:pPr>
      <w:r w:rsidRPr="00C92834">
        <w:rPr>
          <w:rFonts w:eastAsia="Times New Roman"/>
          <w:b/>
          <w:sz w:val="20"/>
          <w:szCs w:val="20"/>
          <w:lang w:val="en" w:eastAsia="en-GB"/>
        </w:rPr>
        <w:t>END.</w:t>
      </w:r>
      <w:r w:rsidR="00F665DC" w:rsidRPr="00C92834">
        <w:rPr>
          <w:rFonts w:eastAsia="Times New Roman"/>
          <w:b/>
          <w:sz w:val="20"/>
          <w:szCs w:val="20"/>
          <w:lang w:val="en" w:eastAsia="en-GB"/>
        </w:rPr>
        <w:t xml:space="preserve"> </w:t>
      </w:r>
    </w:p>
    <w:sectPr w:rsidR="00F665DC" w:rsidRPr="00C92834" w:rsidSect="00750B77">
      <w:headerReference w:type="even" r:id="rId8"/>
      <w:headerReference w:type="default" r:id="rId9"/>
      <w:footerReference w:type="even" r:id="rId10"/>
      <w:footerReference w:type="default" r:id="rId11"/>
      <w:headerReference w:type="first" r:id="rId12"/>
      <w:footerReference w:type="first" r:id="rId13"/>
      <w:pgSz w:w="11900" w:h="16840"/>
      <w:pgMar w:top="652" w:right="680" w:bottom="2268" w:left="680"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07" w:rsidRDefault="003F0507" w:rsidP="00006000">
      <w:pPr>
        <w:spacing w:after="0"/>
      </w:pPr>
      <w:r>
        <w:separator/>
      </w:r>
    </w:p>
  </w:endnote>
  <w:endnote w:type="continuationSeparator" w:id="0">
    <w:p w:rsidR="003F0507" w:rsidRDefault="003F0507"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4B" w:rsidRDefault="00A7154B" w:rsidP="00004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54B" w:rsidRDefault="00A7154B" w:rsidP="00BE72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4B" w:rsidRPr="00BE729A" w:rsidRDefault="00A7154B" w:rsidP="00004767">
    <w:pPr>
      <w:pStyle w:val="Footer"/>
      <w:framePr w:wrap="around" w:vAnchor="text" w:hAnchor="margin" w:xAlign="right" w:y="1"/>
      <w:rPr>
        <w:rStyle w:val="PageNumber"/>
        <w:sz w:val="20"/>
        <w:szCs w:val="20"/>
      </w:rPr>
    </w:pPr>
    <w:r w:rsidRPr="00BE729A">
      <w:rPr>
        <w:rStyle w:val="PageNumber"/>
        <w:sz w:val="20"/>
        <w:szCs w:val="20"/>
      </w:rPr>
      <w:fldChar w:fldCharType="begin"/>
    </w:r>
    <w:r w:rsidRPr="00BE729A">
      <w:rPr>
        <w:rStyle w:val="PageNumber"/>
        <w:sz w:val="20"/>
        <w:szCs w:val="20"/>
      </w:rPr>
      <w:instrText xml:space="preserve">PAGE  </w:instrText>
    </w:r>
    <w:r w:rsidRPr="00BE729A">
      <w:rPr>
        <w:rStyle w:val="PageNumber"/>
        <w:sz w:val="20"/>
        <w:szCs w:val="20"/>
      </w:rPr>
      <w:fldChar w:fldCharType="separate"/>
    </w:r>
    <w:r w:rsidR="00F26D50">
      <w:rPr>
        <w:rStyle w:val="PageNumber"/>
        <w:noProof/>
        <w:sz w:val="20"/>
        <w:szCs w:val="20"/>
      </w:rPr>
      <w:t>5</w:t>
    </w:r>
    <w:r w:rsidRPr="00BE729A">
      <w:rPr>
        <w:rStyle w:val="PageNumber"/>
        <w:sz w:val="20"/>
        <w:szCs w:val="20"/>
      </w:rPr>
      <w:fldChar w:fldCharType="end"/>
    </w:r>
  </w:p>
  <w:p w:rsidR="00A7154B" w:rsidRDefault="00A7154B" w:rsidP="00BE72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4B" w:rsidRDefault="00A7154B">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5461635</wp:posOffset>
              </wp:positionH>
              <wp:positionV relativeFrom="page">
                <wp:posOffset>9947910</wp:posOffset>
              </wp:positionV>
              <wp:extent cx="1562100" cy="641985"/>
              <wp:effectExtent l="0" t="0" r="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641985"/>
                      </a:xfrm>
                      <a:prstGeom prst="rect">
                        <a:avLst/>
                      </a:prstGeom>
                      <a:noFill/>
                      <a:ln>
                        <a:noFill/>
                      </a:ln>
                      <a:effectLst/>
                      <a:extLst>
                        <a:ext uri="{FAA26D3D-D897-4be2-8F04-BA451C77F1D7}"/>
                        <a:ext uri="{C572A759-6A51-4108-AA02-DFA0A04FC94B}"/>
                      </a:extLst>
                    </wps:spPr>
                    <wps:txbx>
                      <w:txbxContent>
                        <w:p w:rsidR="00A7154B" w:rsidRPr="00796431" w:rsidRDefault="00A7154B" w:rsidP="008A4251">
                          <w:pPr>
                            <w:pStyle w:val="10referenceNO"/>
                          </w:pPr>
                          <w:r>
                            <w:t>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margin-left:430.05pt;margin-top:783.3pt;width:123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agAIAAOAEAAAOAAAAZHJzL2Uyb0RvYy54bWysVEtv2zAMvg/YfxB0d/2Y8zLqFGoMDwOC&#10;tkA69KzIcmPMljRJqd0N/e+j5Ljpup2GXRSa/Pj6SObyauha9MS1aaTIcXwRYcQFk1UjHnP89b4M&#10;lhgZS0VFWyl4jp+5wVfrjx8ue5XxRB5kW3GNIIgwWa9yfLBWZWFo2IF31FxIxQUYa6k7auFTP4aV&#10;pj1E79owiaJ52EtdKS0ZNwa0xWjEax+/rjmzt3VtuEVtjqE261/t3717w/UlzR41VYeGncqg/1BF&#10;RxsBSV9DFdRSdNTNH6G6hmlpZG0vmOxCWdcN474H6CaO3nWzO1DFfS9AjlGvNJn/F5bdPN1p1FQw&#10;uxQjQTuY0T0fLLqWAwIV8NMrkwFspwBoB9AD1vdq1FaybwYg4RvM6GAA7fgYat25X+gUgSOM4PmV&#10;dpeGuWizeRJHYGJgm6fxajlzecOzt9LGfuayQ07IsYax+gro09bYETpBXDIhy6ZtQU+zVvymgJij&#10;hvvdGL1pBpWA6JCuJj+3nyUhybz4VATFcrUI0j1PgmUZpcE1SWfxZrEo42LxMu7P2WkzWyRkMVsF&#10;czKLgzSOlgEhURIUJYlIlJabVXrtnaCQKaknb+TL0WiH/QClO3Evq2cgXctxbY1iZQMEbKmxd1TD&#10;ngJncHv2Fp66lX2O5UnC6CD1j7/pHR7WB6wY9bD3OTbfj1RzjNovAhbLHckk6EnYT4I4dhsJpxTD&#10;VSvmRXDQtp3EWsvuAU6SuCxgooJBrhzbSdzY8frgpBknxIPgFBS1W7FTbNotN8774YFqdZq5Bbpu&#10;5HQRNHs3+hE7zpocrawbvxdnFk9LCmfkN+t08u5O33571PmPaf0LAAD//wMAUEsDBBQABgAIAAAA&#10;IQDRUK2V4gAAAA4BAAAPAAAAZHJzL2Rvd25yZXYueG1sTI/BTsMwEETvSPyDtUjcqJ1KdaoQp0JF&#10;FQfEoQUkjtvYxBGxHcVu6v492xPcdndGs2/qTXYDm80U++AVFAsBzPg26N53Cj7edw9rYDGh1zgE&#10;bxRcTIRNc3tTY6XD2e/NfEgdoxAfK1RgUxorzmNrjcO4CKPxpH2HyWGideq4nvBM4W7gSyEkd9h7&#10;+mBxNFtr2p/DySn43I671/xl8W1e6ZfnZbm/TG1W6v4uPz0CSyanPzNc8QkdGmI6hpPXkQ0K1lIU&#10;ZCVhJaUEdrUUQtLtSJOUZQm8qfn/Gs0vAAAA//8DAFBLAQItABQABgAIAAAAIQC2gziS/gAAAOEB&#10;AAATAAAAAAAAAAAAAAAAAAAAAABbQ29udGVudF9UeXBlc10ueG1sUEsBAi0AFAAGAAgAAAAhADj9&#10;If/WAAAAlAEAAAsAAAAAAAAAAAAAAAAALwEAAF9yZWxzLy5yZWxzUEsBAi0AFAAGAAgAAAAhAPNH&#10;5xqAAgAA4AQAAA4AAAAAAAAAAAAAAAAALgIAAGRycy9lMm9Eb2MueG1sUEsBAi0AFAAGAAgAAAAh&#10;ANFQrZXiAAAADgEAAA8AAAAAAAAAAAAAAAAA2gQAAGRycy9kb3ducmV2LnhtbFBLBQYAAAAABAAE&#10;APMAAADpBQAAAAA=&#10;" filled="f" stroked="f">
              <v:path arrowok="t"/>
              <v:textbox inset="0,0,0,0">
                <w:txbxContent>
                  <w:p w:rsidR="00A7154B" w:rsidRPr="00796431" w:rsidRDefault="00A7154B" w:rsidP="008A4251">
                    <w:pPr>
                      <w:pStyle w:val="10referenceNO"/>
                    </w:pPr>
                    <w:r>
                      <w:t>2016</w:t>
                    </w:r>
                  </w:p>
                </w:txbxContent>
              </v:textbox>
              <w10:wrap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-431800</wp:posOffset>
              </wp:positionH>
              <wp:positionV relativeFrom="page">
                <wp:posOffset>9577070</wp:posOffset>
              </wp:positionV>
              <wp:extent cx="7559040" cy="1123315"/>
              <wp:effectExtent l="0" t="0" r="381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1123315"/>
                      </a:xfrm>
                      <a:prstGeom prst="rect">
                        <a:avLst/>
                      </a:prstGeom>
                      <a:solidFill>
                        <a:srgbClr val="E9EAE8"/>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99425C" id="Rectangle 1" o:spid="_x0000_s1026" style="position:absolute;margin-left:-34pt;margin-top:754.1pt;width:595.2pt;height:8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6vwIAAEkFAAAOAAAAZHJzL2Uyb0RvYy54bWysVEtv2zAMvg/YfxB0d/2o3SRGncKN62FA&#10;0BZrh54VWU6MyZImKY922H8fJTtt1u007CKQIsXH95G6vDr0HO2YNp0UBY7PIoyYoLLpxLrAXx/r&#10;YIqRsUQ0hEvBCvzMDL6af/xwuVc5S+RG8oZpBEGEyfeqwBtrVR6Ghm5YT8yZVEyAsZW6JxZUvQ4b&#10;TfYQvedhEkUX4V7qRmlJmTFwWw1GPPfx25ZRe9e2hlnECwy1WX9qf67cGc4vSb7WRG06OpZB/qGK&#10;nnQCkr6GqoglaKu7P0L1HdXSyNaeUdmHsm07ynwP0E0cvevmYUMU870AOEa9wmT+X1h6u7vXqGsK&#10;nGAkSA8UfQHQiFhzhmIHz16ZHLwe1L12DRq1lPSbAUP4m8UpZvQ5tLp3vtAeOnisn1+xZgeLKFxO&#10;smwWpUAJBVscJ+fncebShSQ/Plfa2E9M9sgJBdZQl8eY7JbGDq5HF1+Z5F1Td5x7Ra9XC67RjgDx&#10;N7Ob8mY6RjenblygfYFnWZJBIQTmr+XEgtgrQMSINUaEr2GwqdU+tZAuAeQmuUtdEbMZUvioYwYu&#10;nJ356RsqBe1gQfT3AICfjB91WSYX1XkVVNPZJEhXLAmmdZQG12WaxYvJpI6ryU8X0z8fHy2ySVJO&#10;sllwUWZxkMbRNCjLKAmquozKKK0Xs/TaPwIgj0k9UwM5jqaVbJ6BdC2HbTCK1h00syTG3hMN4w+s&#10;wErbOzhaLgEgOUoYbaR++du984epBCtGe1gnQO/7lmiGEf8sYF5ncerItl5JoQdQ9KlldWoR234h&#10;gbgYPg9Fvej8LT+KrZb9E2x+6bKCiQgKuQeeRmVhhzWHv4OysvRusHOK2KV4UNQFP9L4eHgiWo1j&#10;ZgG1W3lcPZK/m7bB170Ustxa2XZ+FN9wHRcD9tUP8/i3uA/hVPdebz/g/BcAAAD//wMAUEsDBBQA&#10;BgAIAAAAIQAtQPX24gAAAA4BAAAPAAAAZHJzL2Rvd25yZXYueG1sTI/NboMwEITvlfoO1lbqLTGg&#10;BFGKifqjniNoVfXowAZI8ZraTkLevptTe9vRjGa/KTazGcUJnR8sKYiXEQikxrYDdQo+3t8WGQgf&#10;NLV6tIQKLuhhU97eFDpv7ZkqPNWhE1xCPtcK+hCmXErf9Gi0X9oJib29dUYHlq6TrdNnLjejTKIo&#10;lUYPxB96PeFLj813fTQKmoPbp8/zz+rwQJV8/fq8bKttrdT93fz0CCLgHP7CcMVndCiZaWeP1Hox&#10;KlikGW8JbKyjLAFxjcRJsgKx4yvN1jHIspD/Z5S/AAAA//8DAFBLAQItABQABgAIAAAAIQC2gziS&#10;/gAAAOEBAAATAAAAAAAAAAAAAAAAAAAAAABbQ29udGVudF9UeXBlc10ueG1sUEsBAi0AFAAGAAgA&#10;AAAhADj9If/WAAAAlAEAAAsAAAAAAAAAAAAAAAAALwEAAF9yZWxzLy5yZWxzUEsBAi0AFAAGAAgA&#10;AAAhAP6zgXq/AgAASQUAAA4AAAAAAAAAAAAAAAAALgIAAGRycy9lMm9Eb2MueG1sUEsBAi0AFAAG&#10;AAgAAAAhAC1A9fbiAAAADgEAAA8AAAAAAAAAAAAAAAAAGQUAAGRycy9kb3ducmV2LnhtbFBLBQYA&#10;AAAABAAEAPMAAAAoBgAAAAA=&#10;" fillcolor="#e9eae8" stroked="f">
              <v:path arrowok="t"/>
              <w10:wrap anchory="page"/>
            </v:rect>
          </w:pict>
        </mc:Fallback>
      </mc:AlternateContent>
    </w:r>
    <w:r>
      <w:rPr>
        <w:noProof/>
        <w:lang w:eastAsia="en-GB"/>
      </w:rPr>
      <w:drawing>
        <wp:anchor distT="0" distB="0" distL="114300" distR="114300" simplePos="0" relativeHeight="251657216" behindDoc="0" locked="0" layoutInCell="1" allowOverlap="1">
          <wp:simplePos x="0" y="0"/>
          <wp:positionH relativeFrom="column">
            <wp:posOffset>5472430</wp:posOffset>
          </wp:positionH>
          <wp:positionV relativeFrom="page">
            <wp:posOffset>9303385</wp:posOffset>
          </wp:positionV>
          <wp:extent cx="543560" cy="543560"/>
          <wp:effectExtent l="0" t="0" r="8890" b="8890"/>
          <wp:wrapNone/>
          <wp:docPr id="1" name="Picture 12" descr="GK 700 FreeAgent Pro:001 work in progress:moving brands:20141006_MB_MBA Presentation:Source files:emfs:logoH_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K 700 FreeAgent Pro:001 work in progress:moving brands:20141006_MB_MBA Presentation:Source files:emfs:logoH_blac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07" w:rsidRDefault="003F0507" w:rsidP="00006000">
      <w:pPr>
        <w:spacing w:after="0"/>
      </w:pPr>
      <w:r>
        <w:separator/>
      </w:r>
    </w:p>
  </w:footnote>
  <w:footnote w:type="continuationSeparator" w:id="0">
    <w:p w:rsidR="003F0507" w:rsidRDefault="003F0507" w:rsidP="000060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4B" w:rsidRDefault="00A7154B">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4B" w:rsidRDefault="00A7154B" w:rsidP="00BA3BBA">
    <w:pPr>
      <w:pStyle w:val="Header"/>
      <w:tabs>
        <w:tab w:val="clear" w:pos="4320"/>
        <w:tab w:val="clear" w:pos="8640"/>
        <w:tab w:val="left" w:pos="17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4B" w:rsidRDefault="00A7154B">
    <w:pPr>
      <w:pStyle w:val="Header"/>
    </w:pPr>
    <w:r>
      <w:rPr>
        <w:noProof/>
        <w:lang w:eastAsia="en-GB"/>
      </w:rPr>
      <w:drawing>
        <wp:anchor distT="0" distB="0" distL="114300" distR="114300" simplePos="0" relativeHeight="251656192" behindDoc="0" locked="0" layoutInCell="1" allowOverlap="1">
          <wp:simplePos x="0" y="0"/>
          <wp:positionH relativeFrom="column">
            <wp:posOffset>5472430</wp:posOffset>
          </wp:positionH>
          <wp:positionV relativeFrom="page">
            <wp:posOffset>431800</wp:posOffset>
          </wp:positionV>
          <wp:extent cx="1217295" cy="434975"/>
          <wp:effectExtent l="0" t="0" r="1905" b="3175"/>
          <wp:wrapNone/>
          <wp:docPr id="4" name="Picture 11" descr="GK 700 FreeAgent Pro:001 work in progress:moving brands:20141006_MB_MBA Presentation:Source files:emfs:mba_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 700 FreeAgent Pro:001 work in progress:moving brands:20141006_MB_MBA Presentation:Source files:emfs:mba_blac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F3B"/>
    <w:multiLevelType w:val="hybridMultilevel"/>
    <w:tmpl w:val="1EC61008"/>
    <w:lvl w:ilvl="0" w:tplc="A0240C46">
      <w:start w:val="1"/>
      <w:numFmt w:val="lowerRoman"/>
      <w:lvlText w:val="(%1)"/>
      <w:lvlJc w:val="left"/>
      <w:pPr>
        <w:ind w:left="780" w:hanging="72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93C4974"/>
    <w:multiLevelType w:val="hybridMultilevel"/>
    <w:tmpl w:val="50C2AA12"/>
    <w:lvl w:ilvl="0" w:tplc="DE56265A">
      <w:start w:val="1"/>
      <w:numFmt w:val="decimal"/>
      <w:pStyle w:val="2Sub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76C37"/>
    <w:multiLevelType w:val="hybridMultilevel"/>
    <w:tmpl w:val="B17C7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EF75D2"/>
    <w:multiLevelType w:val="hybridMultilevel"/>
    <w:tmpl w:val="94587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281A63"/>
    <w:multiLevelType w:val="hybridMultilevel"/>
    <w:tmpl w:val="51660FE4"/>
    <w:lvl w:ilvl="0" w:tplc="0428EF5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5751ED"/>
    <w:multiLevelType w:val="hybridMultilevel"/>
    <w:tmpl w:val="30A246EE"/>
    <w:lvl w:ilvl="0" w:tplc="F58E0E70">
      <w:start w:val="1"/>
      <w:numFmt w:val="lowerRoman"/>
      <w:lvlText w:val="%1)"/>
      <w:lvlJc w:val="left"/>
      <w:pPr>
        <w:ind w:left="1936" w:hanging="720"/>
      </w:pPr>
      <w:rPr>
        <w:rFonts w:hint="default"/>
      </w:rPr>
    </w:lvl>
    <w:lvl w:ilvl="1" w:tplc="08090019">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6">
    <w:nsid w:val="37573E9A"/>
    <w:multiLevelType w:val="hybridMultilevel"/>
    <w:tmpl w:val="A9ACAC92"/>
    <w:lvl w:ilvl="0" w:tplc="7CAAF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97ACF"/>
    <w:multiLevelType w:val="hybridMultilevel"/>
    <w:tmpl w:val="393032B6"/>
    <w:lvl w:ilvl="0" w:tplc="628AB5EA">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ECF2842"/>
    <w:multiLevelType w:val="hybridMultilevel"/>
    <w:tmpl w:val="2BE2DF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1B3F13"/>
    <w:multiLevelType w:val="hybridMultilevel"/>
    <w:tmpl w:val="7BCCA52E"/>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83B1A"/>
    <w:multiLevelType w:val="hybridMultilevel"/>
    <w:tmpl w:val="E138E364"/>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3A1B22"/>
    <w:multiLevelType w:val="hybridMultilevel"/>
    <w:tmpl w:val="E138E364"/>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2A05AE"/>
    <w:multiLevelType w:val="hybridMultilevel"/>
    <w:tmpl w:val="EB5828F6"/>
    <w:lvl w:ilvl="0" w:tplc="6A7EC032">
      <w:start w:val="1"/>
      <w:numFmt w:val="bullet"/>
      <w:pStyle w:val="3Subheading2"/>
      <w:lvlText w:val=""/>
      <w:lvlJc w:val="left"/>
      <w:pPr>
        <w:ind w:left="2061"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41A17"/>
    <w:multiLevelType w:val="hybridMultilevel"/>
    <w:tmpl w:val="932466CA"/>
    <w:lvl w:ilvl="0" w:tplc="EDD80C82">
      <w:start w:val="1"/>
      <w:numFmt w:val="bullet"/>
      <w:pStyle w:val="08b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1"/>
  </w:num>
  <w:num w:numId="5">
    <w:abstractNumId w:val="3"/>
  </w:num>
  <w:num w:numId="6">
    <w:abstractNumId w:val="10"/>
  </w:num>
  <w:num w:numId="7">
    <w:abstractNumId w:val="0"/>
  </w:num>
  <w:num w:numId="8">
    <w:abstractNumId w:val="5"/>
  </w:num>
  <w:num w:numId="9">
    <w:abstractNumId w:val="6"/>
  </w:num>
  <w:num w:numId="10">
    <w:abstractNumId w:val="4"/>
  </w:num>
  <w:num w:numId="11">
    <w:abstractNumId w:val="7"/>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cumentProtection w:formatting="1" w:enforcement="0"/>
  <w:autoFormatOverride/>
  <w:styleLockTheme/>
  <w:styleLockQFSet/>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AF"/>
    <w:rsid w:val="00004767"/>
    <w:rsid w:val="00005E4D"/>
    <w:rsid w:val="00006000"/>
    <w:rsid w:val="000C33EA"/>
    <w:rsid w:val="0010200A"/>
    <w:rsid w:val="001335C2"/>
    <w:rsid w:val="00141B22"/>
    <w:rsid w:val="0014295B"/>
    <w:rsid w:val="00143AED"/>
    <w:rsid w:val="00175A74"/>
    <w:rsid w:val="00183253"/>
    <w:rsid w:val="00190C6D"/>
    <w:rsid w:val="001E237C"/>
    <w:rsid w:val="0025018D"/>
    <w:rsid w:val="002607ED"/>
    <w:rsid w:val="00262C90"/>
    <w:rsid w:val="002B0BF8"/>
    <w:rsid w:val="003F0507"/>
    <w:rsid w:val="00441D11"/>
    <w:rsid w:val="00454CFF"/>
    <w:rsid w:val="00486B51"/>
    <w:rsid w:val="004B27BD"/>
    <w:rsid w:val="004E3672"/>
    <w:rsid w:val="00502139"/>
    <w:rsid w:val="00565875"/>
    <w:rsid w:val="005961F6"/>
    <w:rsid w:val="005966D9"/>
    <w:rsid w:val="005B5D9E"/>
    <w:rsid w:val="005D078D"/>
    <w:rsid w:val="00623B5D"/>
    <w:rsid w:val="00644A28"/>
    <w:rsid w:val="00646854"/>
    <w:rsid w:val="00687735"/>
    <w:rsid w:val="006E3761"/>
    <w:rsid w:val="006F62BA"/>
    <w:rsid w:val="00714DDE"/>
    <w:rsid w:val="0072345D"/>
    <w:rsid w:val="00743630"/>
    <w:rsid w:val="007470A6"/>
    <w:rsid w:val="00750B77"/>
    <w:rsid w:val="007752B3"/>
    <w:rsid w:val="00777628"/>
    <w:rsid w:val="00790F01"/>
    <w:rsid w:val="00796431"/>
    <w:rsid w:val="00823F26"/>
    <w:rsid w:val="00841BC3"/>
    <w:rsid w:val="0085091D"/>
    <w:rsid w:val="008669D1"/>
    <w:rsid w:val="0087342E"/>
    <w:rsid w:val="008800B9"/>
    <w:rsid w:val="00890999"/>
    <w:rsid w:val="008A4251"/>
    <w:rsid w:val="008C6761"/>
    <w:rsid w:val="008F0948"/>
    <w:rsid w:val="00910594"/>
    <w:rsid w:val="00965CB4"/>
    <w:rsid w:val="009F63D5"/>
    <w:rsid w:val="00A1121B"/>
    <w:rsid w:val="00A7154B"/>
    <w:rsid w:val="00A96AAB"/>
    <w:rsid w:val="00B3431E"/>
    <w:rsid w:val="00B54920"/>
    <w:rsid w:val="00BA3BBA"/>
    <w:rsid w:val="00BD530D"/>
    <w:rsid w:val="00BE729A"/>
    <w:rsid w:val="00C75A53"/>
    <w:rsid w:val="00C92834"/>
    <w:rsid w:val="00C97680"/>
    <w:rsid w:val="00CA415C"/>
    <w:rsid w:val="00CD7439"/>
    <w:rsid w:val="00D12F45"/>
    <w:rsid w:val="00D24763"/>
    <w:rsid w:val="00D43BE4"/>
    <w:rsid w:val="00D47F32"/>
    <w:rsid w:val="00D75562"/>
    <w:rsid w:val="00D80898"/>
    <w:rsid w:val="00D83857"/>
    <w:rsid w:val="00DA0964"/>
    <w:rsid w:val="00DD2A27"/>
    <w:rsid w:val="00E061CB"/>
    <w:rsid w:val="00E061E9"/>
    <w:rsid w:val="00E14E22"/>
    <w:rsid w:val="00E64A9C"/>
    <w:rsid w:val="00E956AF"/>
    <w:rsid w:val="00E96CAE"/>
    <w:rsid w:val="00EA1057"/>
    <w:rsid w:val="00EB2CE4"/>
    <w:rsid w:val="00EB4AFD"/>
    <w:rsid w:val="00EE6789"/>
    <w:rsid w:val="00F26D50"/>
    <w:rsid w:val="00F665DC"/>
    <w:rsid w:val="00F84733"/>
    <w:rsid w:val="00FA2EC9"/>
    <w:rsid w:val="00FB7278"/>
    <w:rsid w:val="00FC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c"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62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lock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styleId="BalloonText">
    <w:name w:val="Balloon Text"/>
    <w:basedOn w:val="Normal"/>
    <w:link w:val="BalloonTextChar"/>
    <w:uiPriority w:val="99"/>
    <w:semiHidden/>
    <w:unhideWhenUsed/>
    <w:lock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locked/>
    <w:rsid w:val="00644A28"/>
    <w:rPr>
      <w:color w:val="13316E"/>
      <w:u w:val="single"/>
    </w:rPr>
  </w:style>
  <w:style w:type="paragraph" w:customStyle="1" w:styleId="BasicParagraph">
    <w:name w:val="[Basic Paragraph]"/>
    <w:basedOn w:val="Normal"/>
    <w:uiPriority w:val="99"/>
    <w:locked/>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1headerbold">
    <w:name w:val="01_header bold"/>
    <w:qFormat/>
    <w:locked/>
    <w:rsid w:val="00841BC3"/>
    <w:rPr>
      <w:b/>
      <w:bCs/>
      <w:noProof/>
      <w:lang w:val="en-US" w:eastAsia="en-US"/>
    </w:rPr>
  </w:style>
  <w:style w:type="paragraph" w:customStyle="1" w:styleId="02headernormal">
    <w:name w:val="02_header normal"/>
    <w:basedOn w:val="Normal"/>
    <w:qFormat/>
    <w:locked/>
    <w:rsid w:val="00841BC3"/>
    <w:rPr>
      <w:rFonts w:ascii="Calibri Light" w:hAnsi="Calibri Light"/>
      <w:sz w:val="20"/>
      <w:szCs w:val="20"/>
    </w:rPr>
  </w:style>
  <w:style w:type="paragraph" w:customStyle="1" w:styleId="03Confidential">
    <w:name w:val="03_Confidential"/>
    <w:qFormat/>
    <w:locked/>
    <w:rsid w:val="00BE729A"/>
    <w:pPr>
      <w:spacing w:line="360" w:lineRule="exact"/>
    </w:pPr>
    <w:rPr>
      <w:b/>
      <w:bCs/>
      <w:noProof/>
      <w:spacing w:val="-6"/>
      <w:sz w:val="32"/>
      <w:szCs w:val="32"/>
      <w:lang w:val="en-US" w:eastAsia="en-US"/>
    </w:rPr>
  </w:style>
  <w:style w:type="paragraph" w:customStyle="1" w:styleId="05MeetingAddress">
    <w:name w:val="05_Meeting Address"/>
    <w:qFormat/>
    <w:locked/>
    <w:rsid w:val="00BE729A"/>
    <w:pPr>
      <w:spacing w:line="360" w:lineRule="exact"/>
    </w:pPr>
    <w:rPr>
      <w:rFonts w:ascii="Calibri Light" w:hAnsi="Calibri Light"/>
      <w:noProof/>
      <w:spacing w:val="-6"/>
      <w:sz w:val="32"/>
      <w:szCs w:val="32"/>
      <w:lang w:val="en-US" w:eastAsia="en-US"/>
    </w:rPr>
  </w:style>
  <w:style w:type="paragraph" w:customStyle="1" w:styleId="04Timeanddate">
    <w:name w:val="04_Time and date"/>
    <w:qFormat/>
    <w:locked/>
    <w:rsid w:val="00BE729A"/>
    <w:pPr>
      <w:tabs>
        <w:tab w:val="left" w:pos="4347"/>
      </w:tabs>
      <w:spacing w:before="600" w:line="360" w:lineRule="exact"/>
      <w:ind w:left="4347" w:hanging="4347"/>
    </w:pPr>
    <w:rPr>
      <w:b/>
      <w:noProof/>
      <w:spacing w:val="-6"/>
      <w:sz w:val="32"/>
      <w:szCs w:val="32"/>
      <w:lang w:val="en-US" w:eastAsia="en-US"/>
    </w:rPr>
  </w:style>
  <w:style w:type="paragraph" w:customStyle="1" w:styleId="06Title">
    <w:name w:val="06_Title"/>
    <w:qFormat/>
    <w:locked/>
    <w:rsid w:val="00BE729A"/>
    <w:pPr>
      <w:spacing w:before="1160" w:after="200" w:line="680" w:lineRule="exact"/>
    </w:pPr>
    <w:rPr>
      <w:rFonts w:ascii="Calibri Light" w:hAnsi="Calibri Light"/>
      <w:spacing w:val="-18"/>
      <w:sz w:val="64"/>
      <w:szCs w:val="64"/>
      <w:lang w:eastAsia="ja-JP"/>
    </w:rPr>
  </w:style>
  <w:style w:type="paragraph" w:customStyle="1" w:styleId="07tablebold">
    <w:name w:val="07_table bold"/>
    <w:qFormat/>
    <w:locked/>
    <w:rsid w:val="00A1121B"/>
    <w:pPr>
      <w:spacing w:line="240" w:lineRule="exact"/>
      <w:ind w:left="48"/>
    </w:pPr>
    <w:rPr>
      <w:b/>
      <w:spacing w:val="-2"/>
      <w:lang w:eastAsia="ja-JP"/>
    </w:rPr>
  </w:style>
  <w:style w:type="paragraph" w:customStyle="1" w:styleId="10referenceNO">
    <w:name w:val="10_reference NO"/>
    <w:qFormat/>
    <w:locked/>
    <w:rsid w:val="00796431"/>
    <w:pPr>
      <w:spacing w:line="360" w:lineRule="exact"/>
    </w:pPr>
    <w:rPr>
      <w:b/>
      <w:bCs/>
      <w:color w:val="000000"/>
      <w:spacing w:val="-2"/>
      <w:sz w:val="32"/>
      <w:szCs w:val="32"/>
      <w:lang w:eastAsia="ja-JP"/>
    </w:rPr>
  </w:style>
  <w:style w:type="paragraph" w:customStyle="1" w:styleId="07bullet">
    <w:name w:val="07_bullet"/>
    <w:basedOn w:val="07tablebold"/>
    <w:qFormat/>
    <w:locked/>
    <w:rsid w:val="00910594"/>
    <w:pPr>
      <w:tabs>
        <w:tab w:val="left" w:pos="2390"/>
      </w:tabs>
    </w:pPr>
  </w:style>
  <w:style w:type="table" w:styleId="TableGrid">
    <w:name w:val="Table Grid"/>
    <w:basedOn w:val="TableNormal"/>
    <w:uiPriority w:val="59"/>
    <w:locked/>
    <w:rsid w:val="00A1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TableText">
    <w:name w:val="08_Table Text"/>
    <w:basedOn w:val="07tablebold"/>
    <w:qFormat/>
    <w:locked/>
    <w:rsid w:val="00A1121B"/>
    <w:pPr>
      <w:ind w:left="0"/>
    </w:pPr>
    <w:rPr>
      <w:rFonts w:ascii="Calibri Light" w:hAnsi="Calibri Light"/>
      <w:b w:val="0"/>
    </w:rPr>
  </w:style>
  <w:style w:type="paragraph" w:customStyle="1" w:styleId="08btabletextbullet">
    <w:name w:val="08b_table text bullet"/>
    <w:basedOn w:val="08TableText"/>
    <w:qFormat/>
    <w:locked/>
    <w:rsid w:val="0014295B"/>
    <w:pPr>
      <w:numPr>
        <w:numId w:val="1"/>
      </w:numPr>
      <w:ind w:left="213" w:hanging="213"/>
    </w:pPr>
  </w:style>
  <w:style w:type="paragraph" w:customStyle="1" w:styleId="03bCommitteename">
    <w:name w:val="03b_Committee name"/>
    <w:qFormat/>
    <w:locked/>
    <w:rsid w:val="00BE729A"/>
    <w:pPr>
      <w:spacing w:before="490" w:after="200"/>
    </w:pPr>
    <w:rPr>
      <w:b/>
      <w:bCs/>
      <w:noProof/>
      <w:spacing w:val="-6"/>
      <w:sz w:val="32"/>
      <w:szCs w:val="32"/>
      <w:lang w:val="en-US" w:eastAsia="en-US"/>
    </w:rPr>
  </w:style>
  <w:style w:type="character" w:styleId="PageNumber">
    <w:name w:val="page number"/>
    <w:basedOn w:val="DefaultParagraphFont"/>
    <w:uiPriority w:val="99"/>
    <w:semiHidden/>
    <w:unhideWhenUsed/>
    <w:locked/>
    <w:rsid w:val="00BE729A"/>
  </w:style>
  <w:style w:type="paragraph" w:customStyle="1" w:styleId="1MainHeader">
    <w:name w:val="1_Main Header"/>
    <w:basedOn w:val="Normal"/>
    <w:qFormat/>
    <w:rsid w:val="00646854"/>
    <w:pPr>
      <w:pBdr>
        <w:top w:val="single" w:sz="4" w:space="1" w:color="auto"/>
      </w:pBdr>
      <w:spacing w:before="230" w:after="460" w:line="360" w:lineRule="exact"/>
    </w:pPr>
    <w:rPr>
      <w:rFonts w:ascii="Calibri Light" w:hAnsi="Calibri Light"/>
      <w:noProof/>
      <w:spacing w:val="-6"/>
      <w:position w:val="-12"/>
      <w:sz w:val="32"/>
      <w:szCs w:val="32"/>
      <w:lang w:val="en-US" w:eastAsia="en-US"/>
    </w:rPr>
  </w:style>
  <w:style w:type="paragraph" w:customStyle="1" w:styleId="2Subheading1">
    <w:name w:val="2_Subheading 1"/>
    <w:basedOn w:val="Normal"/>
    <w:qFormat/>
    <w:rsid w:val="00BD530D"/>
    <w:pPr>
      <w:numPr>
        <w:numId w:val="2"/>
      </w:numPr>
      <w:ind w:left="1134" w:hanging="1134"/>
    </w:pPr>
    <w:rPr>
      <w:b/>
      <w:sz w:val="20"/>
    </w:rPr>
  </w:style>
  <w:style w:type="paragraph" w:customStyle="1" w:styleId="3Subheading2">
    <w:name w:val="3_Subheading 2"/>
    <w:link w:val="3Subheading2Char"/>
    <w:qFormat/>
    <w:rsid w:val="002B0BF8"/>
    <w:pPr>
      <w:numPr>
        <w:numId w:val="3"/>
      </w:numPr>
      <w:spacing w:after="200"/>
      <w:ind w:left="1491" w:hanging="357"/>
    </w:pPr>
    <w:rPr>
      <w:noProof/>
      <w:szCs w:val="24"/>
      <w:lang w:eastAsia="ja-JP"/>
    </w:rPr>
  </w:style>
  <w:style w:type="paragraph" w:customStyle="1" w:styleId="4Agendabody">
    <w:name w:val="4_Agenda body"/>
    <w:basedOn w:val="3Subheading2"/>
    <w:link w:val="4AgendabodyChar"/>
    <w:qFormat/>
    <w:rsid w:val="00005E4D"/>
    <w:pPr>
      <w:numPr>
        <w:numId w:val="0"/>
      </w:numPr>
      <w:ind w:left="1491"/>
    </w:pPr>
  </w:style>
  <w:style w:type="character" w:customStyle="1" w:styleId="3Subheading2Char">
    <w:name w:val="3_Subheading 2 Char"/>
    <w:link w:val="3Subheading2"/>
    <w:rsid w:val="002B0BF8"/>
    <w:rPr>
      <w:noProof/>
      <w:szCs w:val="24"/>
    </w:rPr>
  </w:style>
  <w:style w:type="character" w:customStyle="1" w:styleId="4AgendabodyChar">
    <w:name w:val="4_Agenda body Char"/>
    <w:link w:val="4Agendabody"/>
    <w:rsid w:val="00005E4D"/>
    <w:rPr>
      <w:noProof/>
      <w:szCs w:val="24"/>
    </w:rPr>
  </w:style>
  <w:style w:type="paragraph" w:customStyle="1" w:styleId="5AgendaGreen">
    <w:name w:val="5_Agenda Green"/>
    <w:basedOn w:val="4Agendabody"/>
    <w:qFormat/>
    <w:rsid w:val="008669D1"/>
    <w:rPr>
      <w:color w:val="008E82"/>
    </w:rPr>
  </w:style>
  <w:style w:type="paragraph" w:customStyle="1" w:styleId="6AgendaPink">
    <w:name w:val="6_Agenda Pink"/>
    <w:basedOn w:val="5AgendaGreen"/>
    <w:qFormat/>
    <w:rsid w:val="008669D1"/>
    <w:rPr>
      <w:color w:val="DA1F6C"/>
    </w:rPr>
  </w:style>
  <w:style w:type="paragraph" w:customStyle="1" w:styleId="7AgendaBlue">
    <w:name w:val="7_Agenda Blue"/>
    <w:basedOn w:val="6AgendaPink"/>
    <w:qFormat/>
    <w:rsid w:val="008669D1"/>
    <w:rPr>
      <w:color w:val="0967B1"/>
    </w:rPr>
  </w:style>
  <w:style w:type="paragraph" w:styleId="ListParagraph">
    <w:name w:val="List Paragraph"/>
    <w:basedOn w:val="Normal"/>
    <w:uiPriority w:val="34"/>
    <w:qFormat/>
    <w:rsid w:val="00E956AF"/>
    <w:pPr>
      <w:spacing w:after="0"/>
      <w:ind w:left="720"/>
      <w:contextualSpacing/>
    </w:pPr>
    <w:rPr>
      <w:rFonts w:eastAsiaTheme="minorHAnsi" w:cstheme="minorBidi"/>
      <w:sz w:val="22"/>
      <w:szCs w:val="22"/>
      <w:lang w:val="en-US" w:eastAsia="en-US"/>
    </w:rPr>
  </w:style>
  <w:style w:type="paragraph" w:customStyle="1" w:styleId="legclearfix">
    <w:name w:val="legclearfix"/>
    <w:basedOn w:val="Normal"/>
    <w:rsid w:val="00E956AF"/>
    <w:pPr>
      <w:spacing w:before="100" w:beforeAutospacing="1" w:after="100" w:afterAutospacing="1"/>
    </w:pPr>
    <w:rPr>
      <w:rFonts w:ascii="Times New Roman" w:eastAsia="Times New Roman" w:hAnsi="Times New Roman"/>
      <w:lang w:eastAsia="en-GB"/>
    </w:rPr>
  </w:style>
  <w:style w:type="character" w:customStyle="1" w:styleId="legds">
    <w:name w:val="legds"/>
    <w:basedOn w:val="DefaultParagraphFont"/>
    <w:rsid w:val="00E956AF"/>
  </w:style>
  <w:style w:type="paragraph" w:styleId="NormalWeb">
    <w:name w:val="Normal (Web)"/>
    <w:basedOn w:val="Normal"/>
    <w:uiPriority w:val="99"/>
    <w:semiHidden/>
    <w:unhideWhenUsed/>
    <w:locked/>
    <w:rsid w:val="0087342E"/>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62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lock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styleId="BalloonText">
    <w:name w:val="Balloon Text"/>
    <w:basedOn w:val="Normal"/>
    <w:link w:val="BalloonTextChar"/>
    <w:uiPriority w:val="99"/>
    <w:semiHidden/>
    <w:unhideWhenUsed/>
    <w:lock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locked/>
    <w:rsid w:val="00644A28"/>
    <w:rPr>
      <w:color w:val="13316E"/>
      <w:u w:val="single"/>
    </w:rPr>
  </w:style>
  <w:style w:type="paragraph" w:customStyle="1" w:styleId="BasicParagraph">
    <w:name w:val="[Basic Paragraph]"/>
    <w:basedOn w:val="Normal"/>
    <w:uiPriority w:val="99"/>
    <w:locked/>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1headerbold">
    <w:name w:val="01_header bold"/>
    <w:qFormat/>
    <w:locked/>
    <w:rsid w:val="00841BC3"/>
    <w:rPr>
      <w:b/>
      <w:bCs/>
      <w:noProof/>
      <w:lang w:val="en-US" w:eastAsia="en-US"/>
    </w:rPr>
  </w:style>
  <w:style w:type="paragraph" w:customStyle="1" w:styleId="02headernormal">
    <w:name w:val="02_header normal"/>
    <w:basedOn w:val="Normal"/>
    <w:qFormat/>
    <w:locked/>
    <w:rsid w:val="00841BC3"/>
    <w:rPr>
      <w:rFonts w:ascii="Calibri Light" w:hAnsi="Calibri Light"/>
      <w:sz w:val="20"/>
      <w:szCs w:val="20"/>
    </w:rPr>
  </w:style>
  <w:style w:type="paragraph" w:customStyle="1" w:styleId="03Confidential">
    <w:name w:val="03_Confidential"/>
    <w:qFormat/>
    <w:locked/>
    <w:rsid w:val="00BE729A"/>
    <w:pPr>
      <w:spacing w:line="360" w:lineRule="exact"/>
    </w:pPr>
    <w:rPr>
      <w:b/>
      <w:bCs/>
      <w:noProof/>
      <w:spacing w:val="-6"/>
      <w:sz w:val="32"/>
      <w:szCs w:val="32"/>
      <w:lang w:val="en-US" w:eastAsia="en-US"/>
    </w:rPr>
  </w:style>
  <w:style w:type="paragraph" w:customStyle="1" w:styleId="05MeetingAddress">
    <w:name w:val="05_Meeting Address"/>
    <w:qFormat/>
    <w:locked/>
    <w:rsid w:val="00BE729A"/>
    <w:pPr>
      <w:spacing w:line="360" w:lineRule="exact"/>
    </w:pPr>
    <w:rPr>
      <w:rFonts w:ascii="Calibri Light" w:hAnsi="Calibri Light"/>
      <w:noProof/>
      <w:spacing w:val="-6"/>
      <w:sz w:val="32"/>
      <w:szCs w:val="32"/>
      <w:lang w:val="en-US" w:eastAsia="en-US"/>
    </w:rPr>
  </w:style>
  <w:style w:type="paragraph" w:customStyle="1" w:styleId="04Timeanddate">
    <w:name w:val="04_Time and date"/>
    <w:qFormat/>
    <w:locked/>
    <w:rsid w:val="00BE729A"/>
    <w:pPr>
      <w:tabs>
        <w:tab w:val="left" w:pos="4347"/>
      </w:tabs>
      <w:spacing w:before="600" w:line="360" w:lineRule="exact"/>
      <w:ind w:left="4347" w:hanging="4347"/>
    </w:pPr>
    <w:rPr>
      <w:b/>
      <w:noProof/>
      <w:spacing w:val="-6"/>
      <w:sz w:val="32"/>
      <w:szCs w:val="32"/>
      <w:lang w:val="en-US" w:eastAsia="en-US"/>
    </w:rPr>
  </w:style>
  <w:style w:type="paragraph" w:customStyle="1" w:styleId="06Title">
    <w:name w:val="06_Title"/>
    <w:qFormat/>
    <w:locked/>
    <w:rsid w:val="00BE729A"/>
    <w:pPr>
      <w:spacing w:before="1160" w:after="200" w:line="680" w:lineRule="exact"/>
    </w:pPr>
    <w:rPr>
      <w:rFonts w:ascii="Calibri Light" w:hAnsi="Calibri Light"/>
      <w:spacing w:val="-18"/>
      <w:sz w:val="64"/>
      <w:szCs w:val="64"/>
      <w:lang w:eastAsia="ja-JP"/>
    </w:rPr>
  </w:style>
  <w:style w:type="paragraph" w:customStyle="1" w:styleId="07tablebold">
    <w:name w:val="07_table bold"/>
    <w:qFormat/>
    <w:locked/>
    <w:rsid w:val="00A1121B"/>
    <w:pPr>
      <w:spacing w:line="240" w:lineRule="exact"/>
      <w:ind w:left="48"/>
    </w:pPr>
    <w:rPr>
      <w:b/>
      <w:spacing w:val="-2"/>
      <w:lang w:eastAsia="ja-JP"/>
    </w:rPr>
  </w:style>
  <w:style w:type="paragraph" w:customStyle="1" w:styleId="10referenceNO">
    <w:name w:val="10_reference NO"/>
    <w:qFormat/>
    <w:locked/>
    <w:rsid w:val="00796431"/>
    <w:pPr>
      <w:spacing w:line="360" w:lineRule="exact"/>
    </w:pPr>
    <w:rPr>
      <w:b/>
      <w:bCs/>
      <w:color w:val="000000"/>
      <w:spacing w:val="-2"/>
      <w:sz w:val="32"/>
      <w:szCs w:val="32"/>
      <w:lang w:eastAsia="ja-JP"/>
    </w:rPr>
  </w:style>
  <w:style w:type="paragraph" w:customStyle="1" w:styleId="07bullet">
    <w:name w:val="07_bullet"/>
    <w:basedOn w:val="07tablebold"/>
    <w:qFormat/>
    <w:locked/>
    <w:rsid w:val="00910594"/>
    <w:pPr>
      <w:tabs>
        <w:tab w:val="left" w:pos="2390"/>
      </w:tabs>
    </w:pPr>
  </w:style>
  <w:style w:type="table" w:styleId="TableGrid">
    <w:name w:val="Table Grid"/>
    <w:basedOn w:val="TableNormal"/>
    <w:uiPriority w:val="59"/>
    <w:locked/>
    <w:rsid w:val="00A1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TableText">
    <w:name w:val="08_Table Text"/>
    <w:basedOn w:val="07tablebold"/>
    <w:qFormat/>
    <w:locked/>
    <w:rsid w:val="00A1121B"/>
    <w:pPr>
      <w:ind w:left="0"/>
    </w:pPr>
    <w:rPr>
      <w:rFonts w:ascii="Calibri Light" w:hAnsi="Calibri Light"/>
      <w:b w:val="0"/>
    </w:rPr>
  </w:style>
  <w:style w:type="paragraph" w:customStyle="1" w:styleId="08btabletextbullet">
    <w:name w:val="08b_table text bullet"/>
    <w:basedOn w:val="08TableText"/>
    <w:qFormat/>
    <w:locked/>
    <w:rsid w:val="0014295B"/>
    <w:pPr>
      <w:numPr>
        <w:numId w:val="1"/>
      </w:numPr>
      <w:ind w:left="213" w:hanging="213"/>
    </w:pPr>
  </w:style>
  <w:style w:type="paragraph" w:customStyle="1" w:styleId="03bCommitteename">
    <w:name w:val="03b_Committee name"/>
    <w:qFormat/>
    <w:locked/>
    <w:rsid w:val="00BE729A"/>
    <w:pPr>
      <w:spacing w:before="490" w:after="200"/>
    </w:pPr>
    <w:rPr>
      <w:b/>
      <w:bCs/>
      <w:noProof/>
      <w:spacing w:val="-6"/>
      <w:sz w:val="32"/>
      <w:szCs w:val="32"/>
      <w:lang w:val="en-US" w:eastAsia="en-US"/>
    </w:rPr>
  </w:style>
  <w:style w:type="character" w:styleId="PageNumber">
    <w:name w:val="page number"/>
    <w:basedOn w:val="DefaultParagraphFont"/>
    <w:uiPriority w:val="99"/>
    <w:semiHidden/>
    <w:unhideWhenUsed/>
    <w:locked/>
    <w:rsid w:val="00BE729A"/>
  </w:style>
  <w:style w:type="paragraph" w:customStyle="1" w:styleId="1MainHeader">
    <w:name w:val="1_Main Header"/>
    <w:basedOn w:val="Normal"/>
    <w:qFormat/>
    <w:rsid w:val="00646854"/>
    <w:pPr>
      <w:pBdr>
        <w:top w:val="single" w:sz="4" w:space="1" w:color="auto"/>
      </w:pBdr>
      <w:spacing w:before="230" w:after="460" w:line="360" w:lineRule="exact"/>
    </w:pPr>
    <w:rPr>
      <w:rFonts w:ascii="Calibri Light" w:hAnsi="Calibri Light"/>
      <w:noProof/>
      <w:spacing w:val="-6"/>
      <w:position w:val="-12"/>
      <w:sz w:val="32"/>
      <w:szCs w:val="32"/>
      <w:lang w:val="en-US" w:eastAsia="en-US"/>
    </w:rPr>
  </w:style>
  <w:style w:type="paragraph" w:customStyle="1" w:styleId="2Subheading1">
    <w:name w:val="2_Subheading 1"/>
    <w:basedOn w:val="Normal"/>
    <w:qFormat/>
    <w:rsid w:val="00BD530D"/>
    <w:pPr>
      <w:numPr>
        <w:numId w:val="2"/>
      </w:numPr>
      <w:ind w:left="1134" w:hanging="1134"/>
    </w:pPr>
    <w:rPr>
      <w:b/>
      <w:sz w:val="20"/>
    </w:rPr>
  </w:style>
  <w:style w:type="paragraph" w:customStyle="1" w:styleId="3Subheading2">
    <w:name w:val="3_Subheading 2"/>
    <w:link w:val="3Subheading2Char"/>
    <w:qFormat/>
    <w:rsid w:val="002B0BF8"/>
    <w:pPr>
      <w:numPr>
        <w:numId w:val="3"/>
      </w:numPr>
      <w:spacing w:after="200"/>
      <w:ind w:left="1491" w:hanging="357"/>
    </w:pPr>
    <w:rPr>
      <w:noProof/>
      <w:szCs w:val="24"/>
      <w:lang w:eastAsia="ja-JP"/>
    </w:rPr>
  </w:style>
  <w:style w:type="paragraph" w:customStyle="1" w:styleId="4Agendabody">
    <w:name w:val="4_Agenda body"/>
    <w:basedOn w:val="3Subheading2"/>
    <w:link w:val="4AgendabodyChar"/>
    <w:qFormat/>
    <w:rsid w:val="00005E4D"/>
    <w:pPr>
      <w:numPr>
        <w:numId w:val="0"/>
      </w:numPr>
      <w:ind w:left="1491"/>
    </w:pPr>
  </w:style>
  <w:style w:type="character" w:customStyle="1" w:styleId="3Subheading2Char">
    <w:name w:val="3_Subheading 2 Char"/>
    <w:link w:val="3Subheading2"/>
    <w:rsid w:val="002B0BF8"/>
    <w:rPr>
      <w:noProof/>
      <w:szCs w:val="24"/>
    </w:rPr>
  </w:style>
  <w:style w:type="character" w:customStyle="1" w:styleId="4AgendabodyChar">
    <w:name w:val="4_Agenda body Char"/>
    <w:link w:val="4Agendabody"/>
    <w:rsid w:val="00005E4D"/>
    <w:rPr>
      <w:noProof/>
      <w:szCs w:val="24"/>
    </w:rPr>
  </w:style>
  <w:style w:type="paragraph" w:customStyle="1" w:styleId="5AgendaGreen">
    <w:name w:val="5_Agenda Green"/>
    <w:basedOn w:val="4Agendabody"/>
    <w:qFormat/>
    <w:rsid w:val="008669D1"/>
    <w:rPr>
      <w:color w:val="008E82"/>
    </w:rPr>
  </w:style>
  <w:style w:type="paragraph" w:customStyle="1" w:styleId="6AgendaPink">
    <w:name w:val="6_Agenda Pink"/>
    <w:basedOn w:val="5AgendaGreen"/>
    <w:qFormat/>
    <w:rsid w:val="008669D1"/>
    <w:rPr>
      <w:color w:val="DA1F6C"/>
    </w:rPr>
  </w:style>
  <w:style w:type="paragraph" w:customStyle="1" w:styleId="7AgendaBlue">
    <w:name w:val="7_Agenda Blue"/>
    <w:basedOn w:val="6AgendaPink"/>
    <w:qFormat/>
    <w:rsid w:val="008669D1"/>
    <w:rPr>
      <w:color w:val="0967B1"/>
    </w:rPr>
  </w:style>
  <w:style w:type="paragraph" w:styleId="ListParagraph">
    <w:name w:val="List Paragraph"/>
    <w:basedOn w:val="Normal"/>
    <w:uiPriority w:val="34"/>
    <w:qFormat/>
    <w:rsid w:val="00E956AF"/>
    <w:pPr>
      <w:spacing w:after="0"/>
      <w:ind w:left="720"/>
      <w:contextualSpacing/>
    </w:pPr>
    <w:rPr>
      <w:rFonts w:eastAsiaTheme="minorHAnsi" w:cstheme="minorBidi"/>
      <w:sz w:val="22"/>
      <w:szCs w:val="22"/>
      <w:lang w:val="en-US" w:eastAsia="en-US"/>
    </w:rPr>
  </w:style>
  <w:style w:type="paragraph" w:customStyle="1" w:styleId="legclearfix">
    <w:name w:val="legclearfix"/>
    <w:basedOn w:val="Normal"/>
    <w:rsid w:val="00E956AF"/>
    <w:pPr>
      <w:spacing w:before="100" w:beforeAutospacing="1" w:after="100" w:afterAutospacing="1"/>
    </w:pPr>
    <w:rPr>
      <w:rFonts w:ascii="Times New Roman" w:eastAsia="Times New Roman" w:hAnsi="Times New Roman"/>
      <w:lang w:eastAsia="en-GB"/>
    </w:rPr>
  </w:style>
  <w:style w:type="character" w:customStyle="1" w:styleId="legds">
    <w:name w:val="legds"/>
    <w:basedOn w:val="DefaultParagraphFont"/>
    <w:rsid w:val="00E956AF"/>
  </w:style>
  <w:style w:type="paragraph" w:styleId="NormalWeb">
    <w:name w:val="Normal (Web)"/>
    <w:basedOn w:val="Normal"/>
    <w:uiPriority w:val="99"/>
    <w:semiHidden/>
    <w:unhideWhenUsed/>
    <w:locked/>
    <w:rsid w:val="0087342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047">
      <w:bodyDiv w:val="1"/>
      <w:marLeft w:val="0"/>
      <w:marRight w:val="0"/>
      <w:marTop w:val="0"/>
      <w:marBottom w:val="0"/>
      <w:divBdr>
        <w:top w:val="none" w:sz="0" w:space="0" w:color="auto"/>
        <w:left w:val="none" w:sz="0" w:space="0" w:color="auto"/>
        <w:bottom w:val="none" w:sz="0" w:space="0" w:color="auto"/>
        <w:right w:val="none" w:sz="0" w:space="0" w:color="auto"/>
      </w:divBdr>
    </w:div>
    <w:div w:id="1245410775">
      <w:bodyDiv w:val="1"/>
      <w:marLeft w:val="0"/>
      <w:marRight w:val="0"/>
      <w:marTop w:val="0"/>
      <w:marBottom w:val="0"/>
      <w:divBdr>
        <w:top w:val="none" w:sz="0" w:space="0" w:color="auto"/>
        <w:left w:val="none" w:sz="0" w:space="0" w:color="auto"/>
        <w:bottom w:val="none" w:sz="0" w:space="0" w:color="auto"/>
        <w:right w:val="none" w:sz="0" w:space="0" w:color="auto"/>
      </w:divBdr>
    </w:div>
    <w:div w:id="1452936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dc:creator>
  <cp:lastModifiedBy>Lisa</cp:lastModifiedBy>
  <cp:revision>2</cp:revision>
  <cp:lastPrinted>2014-10-10T18:35:00Z</cp:lastPrinted>
  <dcterms:created xsi:type="dcterms:W3CDTF">2016-04-27T09:42:00Z</dcterms:created>
  <dcterms:modified xsi:type="dcterms:W3CDTF">2016-04-27T09:42:00Z</dcterms:modified>
</cp:coreProperties>
</file>